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10</w:t>
      </w:r>
      <w:r>
        <w:rPr>
          <w:rFonts w:hint="eastAsia" w:ascii="Arial" w:hAnsi="Arial" w:cs="Arial"/>
          <w:b/>
          <w:bCs/>
          <w:snapToGrid w:val="0"/>
          <w:kern w:val="0"/>
          <w:sz w:val="24"/>
        </w:rPr>
        <w:t>5</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R2-1900829</w:t>
      </w:r>
    </w:p>
    <w:p>
      <w:pPr>
        <w:overflowPunct w:val="0"/>
        <w:autoSpaceDE w:val="0"/>
        <w:autoSpaceDN w:val="0"/>
        <w:adjustRightInd w:val="0"/>
        <w:snapToGrid w:val="0"/>
        <w:spacing w:line="240" w:lineRule="auto"/>
        <w:jc w:val="left"/>
        <w:textAlignment w:val="baseline"/>
        <w:rPr>
          <w:rFonts w:hint="eastAsia" w:ascii="Arial" w:hAnsi="Arial" w:cs="Arial" w:eastAsiaTheme="minorEastAsia"/>
          <w:b/>
          <w:bCs/>
          <w:kern w:val="0"/>
          <w:sz w:val="24"/>
          <w:lang w:val="en-US" w:eastAsia="zh-CN"/>
        </w:rPr>
      </w:pPr>
      <w:r>
        <w:rPr>
          <w:rFonts w:hint="eastAsia" w:ascii="Arial" w:hAnsi="Arial" w:cs="Arial"/>
          <w:b/>
          <w:bCs/>
          <w:kern w:val="0"/>
          <w:sz w:val="24"/>
        </w:rPr>
        <w:t>Athens</w:t>
      </w:r>
      <w:r>
        <w:rPr>
          <w:rFonts w:ascii="Arial" w:hAnsi="Arial" w:cs="Arial"/>
          <w:b/>
          <w:bCs/>
          <w:kern w:val="0"/>
          <w:sz w:val="24"/>
          <w:lang w:val="en-GB"/>
        </w:rPr>
        <w:t xml:space="preserve">, </w:t>
      </w:r>
      <w:r>
        <w:rPr>
          <w:rFonts w:hint="eastAsia" w:ascii="Arial" w:hAnsi="Arial" w:cs="Arial"/>
          <w:b/>
          <w:bCs/>
          <w:kern w:val="0"/>
          <w:sz w:val="24"/>
        </w:rPr>
        <w:t>Greece</w:t>
      </w:r>
      <w:r>
        <w:rPr>
          <w:rFonts w:ascii="Arial" w:hAnsi="Arial" w:cs="Arial"/>
          <w:b/>
          <w:bCs/>
          <w:kern w:val="0"/>
          <w:sz w:val="24"/>
          <w:lang w:val="en-GB"/>
        </w:rPr>
        <w:t xml:space="preserve">, </w:t>
      </w:r>
      <w:r>
        <w:rPr>
          <w:rFonts w:hint="eastAsia" w:ascii="Arial" w:hAnsi="Arial" w:cs="Arial"/>
          <w:b/>
          <w:bCs/>
          <w:kern w:val="0"/>
          <w:sz w:val="24"/>
        </w:rPr>
        <w:t>25</w:t>
      </w:r>
      <w:r>
        <w:rPr>
          <w:rFonts w:hint="eastAsia" w:ascii="Arial" w:hAnsi="Arial" w:cs="Arial"/>
          <w:b/>
          <w:bCs/>
          <w:kern w:val="0"/>
          <w:sz w:val="24"/>
          <w:vertAlign w:val="superscript"/>
        </w:rPr>
        <w:t>th</w:t>
      </w:r>
      <w:r>
        <w:rPr>
          <w:rFonts w:ascii="Arial" w:hAnsi="Arial" w:cs="Arial"/>
          <w:b/>
          <w:bCs/>
          <w:kern w:val="0"/>
          <w:sz w:val="24"/>
          <w:lang w:val="en-GB"/>
        </w:rPr>
        <w:t xml:space="preserve"> </w:t>
      </w:r>
      <w:r>
        <w:rPr>
          <w:rFonts w:hint="eastAsia" w:ascii="Arial" w:hAnsi="Arial" w:cs="Arial"/>
          <w:b/>
          <w:bCs/>
          <w:kern w:val="0"/>
          <w:sz w:val="24"/>
        </w:rPr>
        <w:t xml:space="preserve">February </w:t>
      </w:r>
      <w:r>
        <w:rPr>
          <w:rFonts w:ascii="Arial" w:hAnsi="Arial" w:cs="Arial"/>
          <w:b/>
          <w:bCs/>
          <w:kern w:val="0"/>
          <w:sz w:val="24"/>
          <w:lang w:val="en-GB"/>
        </w:rPr>
        <w:t xml:space="preserve">– </w:t>
      </w:r>
      <w:r>
        <w:rPr>
          <w:rFonts w:hint="eastAsia" w:ascii="Arial" w:hAnsi="Arial" w:cs="Arial"/>
          <w:b/>
          <w:bCs/>
          <w:kern w:val="0"/>
          <w:sz w:val="24"/>
        </w:rPr>
        <w:t>1</w:t>
      </w:r>
      <w:r>
        <w:rPr>
          <w:rFonts w:hint="eastAsia" w:ascii="Arial" w:hAnsi="Arial" w:cs="Arial"/>
          <w:b/>
          <w:bCs/>
          <w:kern w:val="0"/>
          <w:sz w:val="24"/>
          <w:vertAlign w:val="superscript"/>
        </w:rPr>
        <w:t>st</w:t>
      </w:r>
      <w:r>
        <w:rPr>
          <w:rFonts w:ascii="Arial" w:hAnsi="Arial" w:cs="Arial"/>
          <w:b/>
          <w:bCs/>
          <w:kern w:val="0"/>
          <w:sz w:val="24"/>
          <w:lang w:val="en-GB"/>
        </w:rPr>
        <w:t xml:space="preserve"> </w:t>
      </w:r>
      <w:r>
        <w:rPr>
          <w:rFonts w:hint="eastAsia" w:ascii="Arial" w:hAnsi="Arial" w:cs="Arial"/>
          <w:b/>
          <w:bCs/>
          <w:kern w:val="0"/>
          <w:sz w:val="24"/>
          <w:lang w:val="en-US" w:eastAsia="zh-CN"/>
        </w:rPr>
        <w:t>March</w:t>
      </w:r>
      <w:r>
        <w:rPr>
          <w:rFonts w:ascii="Arial" w:hAnsi="Arial" w:cs="Arial"/>
          <w:b/>
          <w:bCs/>
          <w:kern w:val="0"/>
          <w:sz w:val="24"/>
          <w:lang w:val="en-GB"/>
        </w:rPr>
        <w:t xml:space="preserve"> 201</w:t>
      </w:r>
      <w:r>
        <w:rPr>
          <w:rFonts w:hint="eastAsia" w:ascii="Arial" w:hAnsi="Arial" w:cs="Arial"/>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lang w:val="en-GB"/>
        </w:rPr>
        <w:t>Revisio</w:t>
      </w:r>
      <w:r>
        <w:rPr>
          <w:rFonts w:hint="eastAsia" w:ascii="Arial" w:hAnsi="Arial" w:cs="Arial"/>
          <w:b/>
          <w:bCs/>
          <w:kern w:val="0"/>
          <w:sz w:val="24"/>
          <w:lang w:val="en-US" w:eastAsia="zh-CN"/>
        </w:rPr>
        <w:t xml:space="preserve">n </w:t>
      </w:r>
      <w:r>
        <w:rPr>
          <w:rFonts w:hint="eastAsia" w:ascii="Arial" w:hAnsi="Arial" w:cs="Arial"/>
          <w:b/>
          <w:bCs/>
          <w:kern w:val="0"/>
          <w:sz w:val="24"/>
          <w:lang w:val="en-GB"/>
        </w:rPr>
        <w:t>of:</w:t>
      </w:r>
      <w:r>
        <w:rPr>
          <w:rFonts w:hint="eastAsia" w:ascii="Arial" w:hAnsi="Arial" w:cs="Arial"/>
          <w:b/>
          <w:bCs/>
          <w:kern w:val="0"/>
          <w:sz w:val="24"/>
          <w:lang w:val="en-US" w:eastAsia="zh-CN"/>
        </w:rPr>
        <w:t xml:space="preserve"> </w:t>
      </w:r>
      <w:r>
        <w:rPr>
          <w:rFonts w:hint="eastAsia" w:ascii="Arial" w:hAnsi="Arial" w:cs="Arial"/>
          <w:b/>
          <w:bCs/>
          <w:kern w:val="0"/>
          <w:sz w:val="24"/>
          <w:lang w:val="en-GB"/>
        </w:rPr>
        <w:t>R2-1817061</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Consideration on TA management in NTN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11.6.4.2</w:t>
      </w:r>
      <w:r>
        <w:rPr>
          <w:rFonts w:hint="eastAsia" w:ascii="Arial" w:hAnsi="Arial" w:cs="Arial"/>
          <w:b/>
          <w:bCs/>
          <w:snapToGrid w:val="0"/>
          <w:kern w:val="0"/>
          <w:sz w:val="24"/>
        </w:rPr>
        <w:tab/>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rPr>
          <w:rFonts w:hint="eastAsia"/>
          <w:sz w:val="20"/>
          <w:szCs w:val="20"/>
          <w:lang w:val="en-US" w:eastAsia="zh-CN"/>
        </w:rPr>
      </w:pPr>
      <w:r>
        <w:rPr>
          <w:rFonts w:hint="eastAsia"/>
          <w:sz w:val="20"/>
          <w:szCs w:val="20"/>
          <w:lang w:val="en-US" w:eastAsia="zh-CN"/>
        </w:rPr>
        <w:t>At RAN2#104, we had some discussions about tracking area management and reached the following agreements:</w:t>
      </w:r>
    </w:p>
    <w:p>
      <w:pPr>
        <w:pBdr>
          <w:top w:val="single" w:color="auto" w:sz="4" w:space="0"/>
          <w:left w:val="single" w:color="auto" w:sz="4" w:space="0"/>
          <w:bottom w:val="single" w:color="auto" w:sz="4" w:space="0"/>
          <w:right w:val="single" w:color="auto" w:sz="4" w:space="0"/>
        </w:pBdr>
        <w:spacing w:line="240" w:lineRule="auto"/>
        <w:rPr>
          <w:rFonts w:hint="eastAsia"/>
          <w:sz w:val="20"/>
          <w:szCs w:val="20"/>
        </w:rPr>
      </w:pPr>
      <w:r>
        <w:rPr>
          <w:rFonts w:hint="eastAsia"/>
          <w:sz w:val="20"/>
          <w:szCs w:val="20"/>
        </w:rPr>
        <w:t>Agreements:</w:t>
      </w:r>
    </w:p>
    <w:p>
      <w:pPr>
        <w:numPr>
          <w:ilvl w:val="0"/>
          <w:numId w:val="4"/>
        </w:numPr>
        <w:pBdr>
          <w:top w:val="single" w:color="auto" w:sz="4" w:space="0"/>
          <w:left w:val="single" w:color="auto" w:sz="4" w:space="0"/>
          <w:bottom w:val="single" w:color="auto" w:sz="4" w:space="0"/>
          <w:right w:val="single" w:color="auto" w:sz="4" w:space="0"/>
        </w:pBdr>
        <w:spacing w:line="240" w:lineRule="auto"/>
        <w:ind w:leftChars="0"/>
        <w:rPr>
          <w:rFonts w:hint="eastAsia"/>
          <w:sz w:val="20"/>
          <w:szCs w:val="20"/>
        </w:rPr>
      </w:pPr>
      <w:r>
        <w:rPr>
          <w:rFonts w:hint="eastAsia"/>
          <w:sz w:val="20"/>
          <w:szCs w:val="20"/>
        </w:rPr>
        <w:t>RAN2 to study solutions for two different type of UE categories 1) with GNSS support, 2) without GNSS support</w:t>
      </w:r>
    </w:p>
    <w:p>
      <w:pPr>
        <w:numPr>
          <w:ilvl w:val="0"/>
          <w:numId w:val="4"/>
        </w:numPr>
        <w:pBdr>
          <w:top w:val="single" w:color="auto" w:sz="4" w:space="0"/>
          <w:left w:val="single" w:color="auto" w:sz="4" w:space="0"/>
          <w:bottom w:val="single" w:color="auto" w:sz="4" w:space="0"/>
          <w:right w:val="single" w:color="auto" w:sz="4" w:space="0"/>
        </w:pBdr>
        <w:spacing w:line="240" w:lineRule="auto"/>
        <w:ind w:left="0" w:leftChars="0" w:firstLine="0" w:firstLineChars="0"/>
        <w:rPr>
          <w:rFonts w:hint="eastAsia"/>
          <w:sz w:val="20"/>
          <w:szCs w:val="20"/>
        </w:rPr>
      </w:pPr>
      <w:r>
        <w:rPr>
          <w:rFonts w:hint="eastAsia"/>
          <w:sz w:val="20"/>
          <w:szCs w:val="20"/>
        </w:rPr>
        <w:t>For GEO, the current tracking area management is assumed as a baseline</w:t>
      </w:r>
    </w:p>
    <w:p>
      <w:pPr>
        <w:numPr>
          <w:ilvl w:val="0"/>
          <w:numId w:val="4"/>
        </w:numPr>
        <w:pBdr>
          <w:top w:val="single" w:color="auto" w:sz="4" w:space="0"/>
          <w:left w:val="single" w:color="auto" w:sz="4" w:space="0"/>
          <w:bottom w:val="single" w:color="auto" w:sz="4" w:space="0"/>
          <w:right w:val="single" w:color="auto" w:sz="4" w:space="0"/>
        </w:pBdr>
        <w:spacing w:line="240" w:lineRule="auto"/>
        <w:ind w:left="0" w:leftChars="0" w:firstLine="0" w:firstLineChars="0"/>
        <w:rPr>
          <w:rFonts w:hint="eastAsia"/>
          <w:sz w:val="20"/>
          <w:szCs w:val="20"/>
        </w:rPr>
      </w:pPr>
      <w:r>
        <w:rPr>
          <w:rFonts w:hint="eastAsia"/>
          <w:sz w:val="20"/>
          <w:szCs w:val="20"/>
        </w:rPr>
        <w:t xml:space="preserve">For LEO with moving beams study fixed and moving tracking area solutions </w:t>
      </w:r>
    </w:p>
    <w:p>
      <w:pPr>
        <w:spacing w:line="240" w:lineRule="auto"/>
        <w:rPr>
          <w:rFonts w:hint="eastAsia" w:eastAsiaTheme="minorEastAsia"/>
          <w:sz w:val="20"/>
          <w:szCs w:val="20"/>
          <w:lang w:val="en-US" w:eastAsia="zh-CN"/>
        </w:rPr>
      </w:pPr>
      <w:r>
        <w:rPr>
          <w:rFonts w:hint="eastAsia"/>
          <w:sz w:val="20"/>
          <w:szCs w:val="20"/>
        </w:rPr>
        <w:t xml:space="preserve">In this contribution, we </w:t>
      </w:r>
      <w:r>
        <w:rPr>
          <w:rFonts w:hint="eastAsia"/>
          <w:sz w:val="20"/>
          <w:szCs w:val="20"/>
          <w:lang w:val="en-US" w:eastAsia="zh-CN"/>
        </w:rPr>
        <w:t>share some thoughts on tracking area management in NTN, especially for LEO with moving beams.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spacing w:line="240" w:lineRule="auto"/>
        <w:rPr>
          <w:rFonts w:hint="eastAsia"/>
          <w:sz w:val="20"/>
          <w:szCs w:val="20"/>
          <w:lang w:eastAsia="zh-CN"/>
        </w:rPr>
      </w:pPr>
      <w:r>
        <w:rPr>
          <w:rFonts w:hint="eastAsia"/>
          <w:sz w:val="20"/>
          <w:szCs w:val="20"/>
          <w:lang w:val="en-US" w:eastAsia="zh-CN"/>
        </w:rPr>
        <w:t xml:space="preserve">Due to high speed movement of satellite, the serving satellite/beam/cell for an earth stationary UE will be changed every tens of minutes in a LEO network, which may lead to massive tracking area update for UEs in RRC_IDLE if the TA strategy of terrestrial network, i.e. TA is bound with base station, is used in NTN as well. </w:t>
      </w:r>
      <w:r>
        <w:rPr>
          <w:rFonts w:hint="eastAsia"/>
          <w:sz w:val="20"/>
          <w:szCs w:val="20"/>
          <w:lang w:eastAsia="zh-CN"/>
        </w:rPr>
        <w:t>Fig.1 illustrate the update of global beam identifier evolution based on the best Rx signal level of the satellite beam of P1 in Fig.2(a), where 1200km altitude is considered with 16 orbits, 36 satellites per orbit and 16 beams per satellite. The update rate of best beam is proportional to the TAU update rate given TA strategy.</w:t>
      </w:r>
    </w:p>
    <w:p>
      <w:pPr>
        <w:pStyle w:val="95"/>
        <w:ind w:left="284" w:firstLine="0"/>
        <w:jc w:val="center"/>
        <w:rPr>
          <w:rFonts w:hint="eastAsia" w:eastAsia="宋体"/>
          <w:lang w:eastAsia="zh-CN"/>
        </w:rPr>
      </w:pPr>
      <w:r>
        <w:rPr>
          <w:rFonts w:hint="eastAsia" w:eastAsia="宋体"/>
          <w:lang w:eastAsia="zh-CN"/>
        </w:rPr>
        <w:drawing>
          <wp:inline distT="0" distB="0" distL="114300" distR="114300">
            <wp:extent cx="3502660" cy="2425065"/>
            <wp:effectExtent l="0" t="0" r="2540" b="1333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7"/>
                    <a:stretch>
                      <a:fillRect/>
                    </a:stretch>
                  </pic:blipFill>
                  <pic:spPr>
                    <a:xfrm>
                      <a:off x="0" y="0"/>
                      <a:ext cx="3502660" cy="2425065"/>
                    </a:xfrm>
                    <a:prstGeom prst="rect">
                      <a:avLst/>
                    </a:prstGeom>
                    <a:noFill/>
                    <a:ln w="9525">
                      <a:noFill/>
                    </a:ln>
                  </pic:spPr>
                </pic:pic>
              </a:graphicData>
            </a:graphic>
          </wp:inline>
        </w:drawing>
      </w:r>
    </w:p>
    <w:p>
      <w:pPr>
        <w:pStyle w:val="95"/>
        <w:ind w:left="284" w:firstLine="0"/>
        <w:jc w:val="center"/>
        <w:rPr>
          <w:rFonts w:hint="eastAsia" w:eastAsia="宋体"/>
          <w:lang w:eastAsia="zh-CN"/>
        </w:rPr>
      </w:pPr>
      <w:r>
        <w:rPr>
          <w:rFonts w:hint="eastAsia" w:eastAsia="宋体"/>
          <w:lang w:eastAsia="zh-CN"/>
        </w:rPr>
        <w:t>Figure 1</w:t>
      </w:r>
      <w:r>
        <w:rPr>
          <w:rFonts w:hint="eastAsia" w:eastAsia="宋体"/>
          <w:lang w:val="en-US" w:eastAsia="zh-CN"/>
        </w:rPr>
        <w:t>.</w:t>
      </w:r>
      <w:r>
        <w:rPr>
          <w:rFonts w:hint="eastAsia" w:eastAsia="宋体"/>
          <w:lang w:eastAsia="zh-CN"/>
        </w:rPr>
        <w:t xml:space="preserve"> Evolution of update of global beam identifier based on best Rx signal level and TN strategy</w:t>
      </w:r>
    </w:p>
    <w:p>
      <w:pPr>
        <w:rPr>
          <w:rFonts w:hint="eastAsia"/>
          <w:sz w:val="20"/>
          <w:szCs w:val="20"/>
          <w:lang w:val="en-US" w:eastAsia="zh-CN"/>
        </w:rPr>
      </w:pPr>
      <w:r>
        <w:rPr>
          <w:rFonts w:hint="eastAsia" w:eastAsia="宋体"/>
          <w:b/>
          <w:bCs/>
          <w:sz w:val="20"/>
          <w:szCs w:val="20"/>
          <w:lang w:val="en-US" w:eastAsia="zh-CN"/>
        </w:rPr>
        <w:t>Observation1: The TA strategy in terrestrial networks is not efficient in non-terrestrial networks, e.g. LEO, due to massive TAU/RNAU even for earth-stationary UEs.</w:t>
      </w:r>
    </w:p>
    <w:p>
      <w:pPr>
        <w:rPr>
          <w:rFonts w:hint="eastAsia" w:eastAsia="宋体"/>
          <w:b/>
          <w:bCs/>
          <w:sz w:val="20"/>
          <w:szCs w:val="20"/>
          <w:lang w:val="en-US" w:eastAsia="zh-CN"/>
        </w:rPr>
      </w:pPr>
      <w:r>
        <w:rPr>
          <w:rFonts w:hint="eastAsia" w:eastAsia="宋体"/>
          <w:b/>
          <w:bCs/>
          <w:sz w:val="20"/>
          <w:szCs w:val="20"/>
          <w:lang w:val="en-US" w:eastAsia="zh-CN"/>
        </w:rPr>
        <w:t>Proposal 1: For LEO with moving beams, tracking area identity is planned and associated with geographical position, i.e. static on earth.</w:t>
      </w:r>
    </w:p>
    <w:p>
      <w:pPr>
        <w:rPr>
          <w:rFonts w:hint="eastAsia"/>
          <w:sz w:val="20"/>
          <w:szCs w:val="20"/>
          <w:lang w:val="en-US" w:eastAsia="zh-CN"/>
        </w:rPr>
      </w:pPr>
      <w:r>
        <w:rPr>
          <w:rFonts w:hint="eastAsia"/>
          <w:sz w:val="20"/>
          <w:szCs w:val="20"/>
          <w:lang w:val="en-US" w:eastAsia="zh-CN"/>
        </w:rPr>
        <w:t>Two detailed solutions are listed as follows:</w:t>
      </w:r>
    </w:p>
    <w:p>
      <w:pPr>
        <w:jc w:val="center"/>
        <w:rPr>
          <w:rFonts w:hint="eastAsia"/>
          <w:lang w:val="en-US" w:eastAsia="zh-CN"/>
        </w:rPr>
      </w:pPr>
      <w:r>
        <w:rPr>
          <w:rFonts w:hint="eastAsia"/>
          <w:lang w:val="en-US" w:eastAsia="zh-CN"/>
        </w:rPr>
        <w:object>
          <v:shape id="_x0000_i1025" o:spt="75" type="#_x0000_t75" style="height:174.1pt;width:37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p>
    <w:p>
      <w:pPr>
        <w:jc w:val="center"/>
        <w:rPr>
          <w:rFonts w:hint="eastAsia"/>
          <w:sz w:val="20"/>
          <w:szCs w:val="20"/>
          <w:lang w:val="en-US" w:eastAsia="zh-CN"/>
        </w:rPr>
      </w:pPr>
      <w:r>
        <w:rPr>
          <w:rFonts w:hint="eastAsia"/>
          <w:sz w:val="20"/>
          <w:szCs w:val="20"/>
          <w:lang w:val="en-US" w:eastAsia="zh-CN"/>
        </w:rPr>
        <w:t>Figure 2. An example of updating TAC and PLMN ID in real-time for LEO with moving beam</w:t>
      </w:r>
    </w:p>
    <w:p>
      <w:pPr>
        <w:rPr>
          <w:rFonts w:hint="eastAsia"/>
          <w:b/>
          <w:bCs/>
          <w:sz w:val="20"/>
          <w:szCs w:val="20"/>
          <w:u w:val="single"/>
          <w:lang w:val="en-US" w:eastAsia="zh-CN"/>
        </w:rPr>
      </w:pPr>
      <w:r>
        <w:rPr>
          <w:rFonts w:hint="eastAsia"/>
          <w:b/>
          <w:bCs/>
          <w:sz w:val="20"/>
          <w:szCs w:val="20"/>
          <w:u w:val="single"/>
          <w:lang w:val="en-US" w:eastAsia="zh-CN"/>
        </w:rPr>
        <w:t>Alt.1:UE determine the TA based on the information received in SIB1</w:t>
      </w:r>
    </w:p>
    <w:p>
      <w:pPr>
        <w:rPr>
          <w:rFonts w:hint="eastAsia"/>
          <w:sz w:val="20"/>
          <w:szCs w:val="20"/>
          <w:lang w:val="en-US" w:eastAsia="zh-CN"/>
        </w:rPr>
      </w:pPr>
      <w:r>
        <w:rPr>
          <w:rFonts w:hint="eastAsia"/>
          <w:sz w:val="20"/>
          <w:szCs w:val="20"/>
          <w:lang w:val="en-US" w:eastAsia="zh-CN"/>
        </w:rPr>
        <w:t>As shown in Figure 2, the LEO satellite update the broadcast TAC in real time according to the ephemeris and make sure the broadcast TAC is associated with the geographical area covered by the satellite beam. UE derives TAI=PLMN ID +TAC and determines whether to trigger TAU based on the broadcast TAC and PLMN ID when it moves out of the registration area.</w:t>
      </w:r>
    </w:p>
    <w:p>
      <w:pPr>
        <w:jc w:val="center"/>
        <w:rPr>
          <w:rFonts w:hint="eastAsia" w:eastAsia="宋体"/>
          <w:bCs/>
          <w:sz w:val="22"/>
          <w:szCs w:val="22"/>
          <w:lang w:val="en-US" w:eastAsia="zh-CN"/>
        </w:rPr>
      </w:pPr>
      <w:r>
        <w:rPr>
          <w:rFonts w:hint="eastAsia" w:eastAsia="宋体"/>
          <w:bCs/>
          <w:sz w:val="22"/>
          <w:szCs w:val="22"/>
          <w:lang w:val="en-US" w:eastAsia="zh-CN"/>
        </w:rPr>
        <w:object>
          <v:shape id="_x0000_i1026" o:spt="75" type="#_x0000_t75" style="height:215.75pt;width:414.85pt;" o:ole="t" filled="f" o:preferrelative="t" stroked="f" coordsize="21600,21600">
            <v:path/>
            <v:fill on="f" focussize="0,0"/>
            <v:stroke on="f"/>
            <v:imagedata r:id="rId11" o:title=""/>
            <o:lock v:ext="edit" aspectratio="f"/>
            <w10:wrap type="none"/>
            <w10:anchorlock/>
          </v:shape>
          <o:OLEObject Type="Embed" ProgID="Visio.Drawing.11" ShapeID="_x0000_i1026" DrawAspect="Content" ObjectID="_1468075726" r:id="rId10">
            <o:LockedField>false</o:LockedField>
          </o:OLEObject>
        </w:object>
      </w:r>
    </w:p>
    <w:p>
      <w:pPr>
        <w:jc w:val="center"/>
        <w:rPr>
          <w:rFonts w:hint="eastAsia" w:eastAsia="宋体"/>
          <w:bCs/>
          <w:sz w:val="20"/>
          <w:szCs w:val="20"/>
          <w:lang w:val="en-US" w:eastAsia="zh-CN"/>
        </w:rPr>
      </w:pPr>
      <w:r>
        <w:rPr>
          <w:rFonts w:hint="eastAsia" w:eastAsia="宋体"/>
          <w:bCs/>
          <w:sz w:val="20"/>
          <w:szCs w:val="20"/>
          <w:lang w:val="en-US" w:eastAsia="zh-CN"/>
        </w:rPr>
        <w:t>Figure 3.TA determination based on the broadcast information in SIB1</w:t>
      </w:r>
    </w:p>
    <w:p>
      <w:pPr>
        <w:rPr>
          <w:rFonts w:hint="eastAsia"/>
          <w:b/>
          <w:bCs/>
          <w:sz w:val="20"/>
          <w:szCs w:val="20"/>
          <w:u w:val="single"/>
          <w:lang w:val="en-US" w:eastAsia="zh-CN"/>
        </w:rPr>
      </w:pPr>
      <w:r>
        <w:rPr>
          <w:rFonts w:hint="eastAsia"/>
          <w:b/>
          <w:bCs/>
          <w:sz w:val="20"/>
          <w:szCs w:val="20"/>
          <w:u w:val="single"/>
          <w:lang w:val="en-US" w:eastAsia="zh-CN"/>
        </w:rPr>
        <w:t>Alt.2:UE determine the TA based on the location information maintained on UE side</w:t>
      </w:r>
    </w:p>
    <w:p>
      <w:pPr>
        <w:rPr>
          <w:rFonts w:hint="eastAsia"/>
          <w:sz w:val="20"/>
          <w:szCs w:val="20"/>
          <w:lang w:val="en-US" w:eastAsia="zh-CN"/>
        </w:rPr>
      </w:pPr>
      <w:r>
        <w:rPr>
          <w:rFonts w:hint="eastAsia"/>
          <w:sz w:val="20"/>
          <w:szCs w:val="20"/>
          <w:lang w:val="en-US" w:eastAsia="zh-CN"/>
        </w:rPr>
        <w:t>UE derives the TAC based on its geographical position (the mapping rule between the geographical position and the TAC value is kept both on UE side and network side) and report to network during registration. Network confirms the TAI and provides TAI lists to represent the registration area. UE triggers TAU based on the TAI (PLMN ID plus TAC derived from the geographical position) when it moves out of the registration area.</w:t>
      </w:r>
    </w:p>
    <w:p>
      <w:pPr>
        <w:jc w:val="center"/>
        <w:rPr>
          <w:rFonts w:hint="eastAsia" w:eastAsia="宋体"/>
          <w:bCs/>
          <w:sz w:val="22"/>
          <w:szCs w:val="22"/>
          <w:lang w:val="en-US" w:eastAsia="zh-CN"/>
        </w:rPr>
      </w:pPr>
      <w:r>
        <w:rPr>
          <w:rFonts w:hint="eastAsia" w:eastAsia="宋体"/>
          <w:bCs/>
          <w:sz w:val="22"/>
          <w:szCs w:val="22"/>
          <w:lang w:val="en-US" w:eastAsia="zh-CN"/>
        </w:rPr>
        <w:object>
          <v:shape id="_x0000_i1027" o:spt="75" type="#_x0000_t75" style="height:215.75pt;width:414.85pt;" o:ole="t" filled="f" o:preferrelative="t" stroked="f" coordsize="21600,21600">
            <v:path/>
            <v:fill on="f" focussize="0,0"/>
            <v:stroke on="f"/>
            <v:imagedata r:id="rId13" o:title=""/>
            <o:lock v:ext="edit" aspectratio="f"/>
            <w10:wrap type="none"/>
            <w10:anchorlock/>
          </v:shape>
          <o:OLEObject Type="Embed" ProgID="Visio.Drawing.11" ShapeID="_x0000_i1027" DrawAspect="Content" ObjectID="_1468075727" r:id="rId12">
            <o:LockedField>false</o:LockedField>
          </o:OLEObject>
        </w:object>
      </w:r>
    </w:p>
    <w:p>
      <w:pPr>
        <w:jc w:val="center"/>
        <w:rPr>
          <w:rFonts w:hint="eastAsia" w:eastAsia="宋体"/>
          <w:bCs/>
          <w:sz w:val="20"/>
          <w:szCs w:val="20"/>
          <w:lang w:val="en-US" w:eastAsia="zh-CN"/>
        </w:rPr>
      </w:pPr>
      <w:r>
        <w:rPr>
          <w:rFonts w:hint="eastAsia" w:eastAsia="宋体"/>
          <w:bCs/>
          <w:sz w:val="20"/>
          <w:szCs w:val="20"/>
          <w:lang w:val="en-US" w:eastAsia="zh-CN"/>
        </w:rPr>
        <w:t>Figure 4.TA determination based on the TAC derived from UE location and broadcast PLMN ID</w:t>
      </w:r>
    </w:p>
    <w:p>
      <w:pPr>
        <w:rPr>
          <w:rFonts w:hint="eastAsia"/>
          <w:sz w:val="20"/>
          <w:szCs w:val="20"/>
          <w:lang w:val="en-US" w:eastAsia="zh-CN"/>
        </w:rPr>
      </w:pPr>
      <w:r>
        <w:rPr>
          <w:rFonts w:hint="eastAsia"/>
          <w:sz w:val="20"/>
          <w:szCs w:val="20"/>
          <w:lang w:val="en-US" w:eastAsia="zh-CN"/>
        </w:rPr>
        <w:t>A comparison table for Alt.1 and Alt.2 is given as follows:</w:t>
      </w:r>
      <w:bookmarkStart w:id="2" w:name="_GoBack"/>
      <w:bookmarkEnd w:id="2"/>
    </w:p>
    <w:tbl>
      <w:tblPr>
        <w:tblStyle w:val="66"/>
        <w:tblW w:w="9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7"/>
        <w:gridCol w:w="3047"/>
        <w:gridCol w:w="3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617" w:type="dxa"/>
            <w:tcBorders>
              <w:top w:val="single" w:color="9BBB59" w:sz="8" w:space="0"/>
              <w:left w:val="single" w:color="9BBB59" w:sz="8" w:space="0"/>
              <w:bottom w:val="single" w:color="9BBB59" w:sz="8" w:space="0"/>
              <w:right w:val="dotted" w:color="auto" w:sz="8" w:space="0"/>
            </w:tcBorders>
            <w:shd w:val="clear" w:color="auto" w:fill="9BBB59"/>
            <w:vAlign w:val="top"/>
          </w:tcPr>
          <w:p>
            <w:pPr>
              <w:widowControl w:val="0"/>
              <w:numPr>
                <w:ilvl w:val="0"/>
                <w:numId w:val="0"/>
              </w:numPr>
              <w:spacing w:after="160" w:line="259" w:lineRule="auto"/>
              <w:jc w:val="both"/>
              <w:rPr>
                <w:rFonts w:hint="eastAsia"/>
                <w:color w:val="FFFFFF"/>
                <w:sz w:val="20"/>
                <w:szCs w:val="20"/>
                <w:vertAlign w:val="baseline"/>
                <w:lang w:val="en-US" w:eastAsia="zh-CN"/>
              </w:rPr>
            </w:pPr>
            <w:r>
              <w:rPr>
                <w:rFonts w:hint="eastAsia"/>
                <w:b/>
                <w:bCs/>
                <w:color w:val="FFFFFF"/>
                <w:sz w:val="20"/>
                <w:szCs w:val="20"/>
                <w:vertAlign w:val="baseline"/>
                <w:lang w:val="en-US" w:eastAsia="zh-CN"/>
              </w:rPr>
              <w:t>Alternatives</w:t>
            </w:r>
          </w:p>
        </w:tc>
        <w:tc>
          <w:tcPr>
            <w:tcW w:w="3047" w:type="dxa"/>
            <w:tcBorders>
              <w:top w:val="single" w:color="9BBB59" w:sz="8" w:space="0"/>
              <w:left w:val="dotted" w:color="auto" w:sz="8" w:space="0"/>
              <w:bottom w:val="single" w:color="9BBB59" w:sz="8" w:space="0"/>
              <w:right w:val="dotted" w:color="auto" w:sz="8" w:space="0"/>
            </w:tcBorders>
            <w:shd w:val="clear" w:color="auto" w:fill="9BBB59"/>
            <w:vAlign w:val="top"/>
          </w:tcPr>
          <w:p>
            <w:pPr>
              <w:widowControl w:val="0"/>
              <w:numPr>
                <w:ilvl w:val="0"/>
                <w:numId w:val="0"/>
              </w:numPr>
              <w:spacing w:after="160" w:line="259" w:lineRule="auto"/>
              <w:jc w:val="both"/>
              <w:rPr>
                <w:rFonts w:hint="eastAsia"/>
                <w:color w:val="FFFFFF"/>
                <w:sz w:val="20"/>
                <w:szCs w:val="20"/>
                <w:vertAlign w:val="baseline"/>
                <w:lang w:val="en-US" w:eastAsia="zh-CN"/>
              </w:rPr>
            </w:pPr>
            <w:r>
              <w:rPr>
                <w:rFonts w:hint="eastAsia"/>
                <w:b/>
                <w:bCs/>
                <w:color w:val="FFFFFF"/>
                <w:sz w:val="20"/>
                <w:szCs w:val="20"/>
                <w:vertAlign w:val="baseline"/>
                <w:lang w:val="en-US" w:eastAsia="zh-CN"/>
              </w:rPr>
              <w:t>Pros</w:t>
            </w:r>
          </w:p>
        </w:tc>
        <w:tc>
          <w:tcPr>
            <w:tcW w:w="3333" w:type="dxa"/>
            <w:tcBorders>
              <w:top w:val="single" w:color="9BBB59" w:sz="8" w:space="0"/>
              <w:left w:val="dotted" w:color="auto" w:sz="8" w:space="0"/>
              <w:bottom w:val="single" w:color="9BBB59" w:sz="8" w:space="0"/>
              <w:right w:val="single" w:color="9BBB59" w:sz="8" w:space="0"/>
            </w:tcBorders>
            <w:shd w:val="clear" w:color="auto" w:fill="9BBB59"/>
            <w:vAlign w:val="top"/>
          </w:tcPr>
          <w:p>
            <w:pPr>
              <w:widowControl w:val="0"/>
              <w:numPr>
                <w:ilvl w:val="0"/>
                <w:numId w:val="0"/>
              </w:numPr>
              <w:spacing w:after="160" w:line="259" w:lineRule="auto"/>
              <w:jc w:val="both"/>
              <w:rPr>
                <w:rFonts w:hint="eastAsia"/>
                <w:color w:val="FFFFFF"/>
                <w:sz w:val="20"/>
                <w:szCs w:val="20"/>
                <w:vertAlign w:val="baseline"/>
                <w:lang w:val="en-US" w:eastAsia="zh-CN"/>
              </w:rPr>
            </w:pPr>
            <w:r>
              <w:rPr>
                <w:rFonts w:hint="eastAsia"/>
                <w:b/>
                <w:bCs/>
                <w:color w:val="FFFFFF"/>
                <w:sz w:val="20"/>
                <w:szCs w:val="20"/>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617" w:type="dxa"/>
            <w:tcBorders>
              <w:top w:val="single" w:color="9BBB59" w:sz="8" w:space="0"/>
              <w:left w:val="single" w:color="9BBB59" w:sz="8" w:space="0"/>
              <w:bottom w:val="single" w:color="9BBB59" w:sz="8" w:space="0"/>
              <w:right w:val="dotted" w:color="auto" w:sz="8" w:space="0"/>
            </w:tcBorders>
            <w:shd w:val="clear" w:color="auto" w:fill="FFFFFF"/>
            <w:vAlign w:val="top"/>
          </w:tcPr>
          <w:p>
            <w:pPr>
              <w:widowControl w:val="0"/>
              <w:numPr>
                <w:ilvl w:val="0"/>
                <w:numId w:val="0"/>
              </w:numPr>
              <w:spacing w:after="160" w:line="259" w:lineRule="auto"/>
              <w:jc w:val="both"/>
              <w:rPr>
                <w:rFonts w:hint="eastAsia"/>
                <w:color w:val="000000"/>
                <w:sz w:val="20"/>
                <w:szCs w:val="20"/>
                <w:vertAlign w:val="baseline"/>
                <w:lang w:val="en-US" w:eastAsia="zh-CN"/>
              </w:rPr>
            </w:pPr>
            <w:r>
              <w:rPr>
                <w:rFonts w:hint="eastAsia"/>
                <w:b w:val="0"/>
                <w:bCs w:val="0"/>
                <w:color w:val="000000"/>
                <w:sz w:val="20"/>
                <w:szCs w:val="20"/>
                <w:u w:val="none"/>
                <w:lang w:val="en-US" w:eastAsia="zh-CN"/>
              </w:rPr>
              <w:t>Alt 1: UE determine the TA based on the information received in SIB1</w:t>
            </w:r>
          </w:p>
        </w:tc>
        <w:tc>
          <w:tcPr>
            <w:tcW w:w="3047" w:type="dxa"/>
            <w:tcBorders>
              <w:top w:val="single" w:color="9BBB59" w:sz="8" w:space="0"/>
              <w:left w:val="dotted" w:color="auto" w:sz="8" w:space="0"/>
              <w:bottom w:val="single" w:color="9BBB59" w:sz="8" w:space="0"/>
              <w:right w:val="dotted" w:color="auto" w:sz="8" w:space="0"/>
            </w:tcBorders>
            <w:shd w:val="clear" w:color="auto" w:fill="FFFFFF"/>
            <w:vAlign w:val="top"/>
          </w:tcPr>
          <w:p>
            <w:pPr>
              <w:widowControl w:val="0"/>
              <w:numPr>
                <w:ilvl w:val="0"/>
                <w:numId w:val="0"/>
              </w:numPr>
              <w:spacing w:after="160" w:line="259" w:lineRule="auto"/>
              <w:jc w:val="both"/>
              <w:rPr>
                <w:rFonts w:hint="eastAsia"/>
                <w:color w:val="000000"/>
                <w:sz w:val="20"/>
                <w:szCs w:val="20"/>
                <w:vertAlign w:val="baseline"/>
                <w:lang w:val="en-US" w:eastAsia="zh-CN"/>
              </w:rPr>
            </w:pPr>
            <w:r>
              <w:rPr>
                <w:rFonts w:hint="eastAsia"/>
                <w:color w:val="000000"/>
                <w:sz w:val="20"/>
                <w:szCs w:val="20"/>
                <w:vertAlign w:val="baseline"/>
                <w:lang w:val="en-US" w:eastAsia="zh-CN"/>
              </w:rPr>
              <w:t>Applicable for UE with and without GNSS support.</w:t>
            </w:r>
          </w:p>
        </w:tc>
        <w:tc>
          <w:tcPr>
            <w:tcW w:w="3333" w:type="dxa"/>
            <w:tcBorders>
              <w:top w:val="single" w:color="9BBB59" w:sz="8" w:space="0"/>
              <w:left w:val="dotted" w:color="auto" w:sz="8" w:space="0"/>
              <w:bottom w:val="single" w:color="9BBB59" w:sz="8" w:space="0"/>
              <w:right w:val="single" w:color="9BBB59" w:sz="8" w:space="0"/>
            </w:tcBorders>
            <w:shd w:val="clear" w:color="auto" w:fill="FFFFFF"/>
            <w:vAlign w:val="top"/>
          </w:tcPr>
          <w:p>
            <w:pPr>
              <w:widowControl w:val="0"/>
              <w:numPr>
                <w:ilvl w:val="0"/>
                <w:numId w:val="0"/>
              </w:numPr>
              <w:spacing w:after="160" w:line="259" w:lineRule="auto"/>
              <w:jc w:val="both"/>
              <w:rPr>
                <w:rFonts w:hint="eastAsia" w:eastAsiaTheme="minorEastAsia"/>
                <w:color w:val="000000"/>
                <w:sz w:val="20"/>
                <w:szCs w:val="20"/>
                <w:vertAlign w:val="baseline"/>
                <w:lang w:val="en-US" w:eastAsia="zh-CN"/>
              </w:rPr>
            </w:pPr>
            <w:r>
              <w:rPr>
                <w:rFonts w:hint="eastAsia"/>
                <w:color w:val="000000"/>
                <w:sz w:val="20"/>
                <w:szCs w:val="20"/>
                <w:vertAlign w:val="baseline"/>
                <w:lang w:val="en-US" w:eastAsia="zh-CN"/>
              </w:rPr>
              <w:t>The broadcast TAC has to be updated in real-time according to the ephemeris to make sure the broadcast TAC is associated with the geographical area covered by the satellite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617" w:type="dxa"/>
            <w:tcBorders>
              <w:top w:val="single" w:color="9BBB59" w:sz="8" w:space="0"/>
              <w:left w:val="single" w:color="9BBB59" w:sz="8" w:space="0"/>
              <w:bottom w:val="single" w:color="9BBB59" w:sz="8" w:space="0"/>
              <w:right w:val="dotted" w:color="auto" w:sz="8" w:space="0"/>
            </w:tcBorders>
            <w:shd w:val="clear" w:color="auto" w:fill="FFFFFF"/>
            <w:vAlign w:val="top"/>
          </w:tcPr>
          <w:p>
            <w:pPr>
              <w:widowControl w:val="0"/>
              <w:numPr>
                <w:ilvl w:val="0"/>
                <w:numId w:val="0"/>
              </w:numPr>
              <w:spacing w:after="160" w:line="259" w:lineRule="auto"/>
              <w:jc w:val="both"/>
              <w:rPr>
                <w:rFonts w:hint="eastAsia"/>
                <w:color w:val="000000"/>
                <w:sz w:val="20"/>
                <w:szCs w:val="20"/>
                <w:vertAlign w:val="baseline"/>
                <w:lang w:val="en-US" w:eastAsia="zh-CN"/>
              </w:rPr>
            </w:pPr>
            <w:r>
              <w:rPr>
                <w:rFonts w:hint="eastAsia"/>
                <w:b w:val="0"/>
                <w:bCs w:val="0"/>
                <w:color w:val="000000"/>
                <w:sz w:val="20"/>
                <w:szCs w:val="20"/>
                <w:u w:val="none"/>
                <w:lang w:val="en-US" w:eastAsia="zh-CN"/>
              </w:rPr>
              <w:t>Alt 2: UE determine the TA based on the location information maintained on UE side</w:t>
            </w:r>
          </w:p>
        </w:tc>
        <w:tc>
          <w:tcPr>
            <w:tcW w:w="3047" w:type="dxa"/>
            <w:tcBorders>
              <w:top w:val="single" w:color="9BBB59" w:sz="8" w:space="0"/>
              <w:left w:val="dotted" w:color="auto" w:sz="8" w:space="0"/>
              <w:bottom w:val="single" w:color="9BBB59" w:sz="8" w:space="0"/>
              <w:right w:val="dotted" w:color="auto" w:sz="8" w:space="0"/>
            </w:tcBorders>
            <w:shd w:val="clear" w:color="auto" w:fill="FFFFFF"/>
            <w:vAlign w:val="top"/>
          </w:tcPr>
          <w:p>
            <w:pPr>
              <w:widowControl w:val="0"/>
              <w:numPr>
                <w:ilvl w:val="0"/>
                <w:numId w:val="5"/>
              </w:numPr>
              <w:spacing w:after="160" w:line="259" w:lineRule="auto"/>
              <w:jc w:val="both"/>
              <w:rPr>
                <w:rFonts w:hint="eastAsia"/>
                <w:color w:val="000000"/>
                <w:sz w:val="20"/>
                <w:szCs w:val="20"/>
                <w:vertAlign w:val="baseline"/>
                <w:lang w:val="en-US" w:eastAsia="zh-CN"/>
              </w:rPr>
            </w:pPr>
            <w:r>
              <w:rPr>
                <w:rFonts w:hint="eastAsia"/>
                <w:color w:val="000000"/>
                <w:sz w:val="20"/>
                <w:szCs w:val="20"/>
                <w:vertAlign w:val="baseline"/>
                <w:lang w:val="en-US" w:eastAsia="zh-CN"/>
              </w:rPr>
              <w:t>More precise TA information can be provided and some unnecessary paging can be saved.</w:t>
            </w:r>
          </w:p>
          <w:p>
            <w:pPr>
              <w:widowControl w:val="0"/>
              <w:numPr>
                <w:ilvl w:val="0"/>
                <w:numId w:val="5"/>
              </w:numPr>
              <w:spacing w:after="160" w:line="259" w:lineRule="auto"/>
              <w:jc w:val="both"/>
              <w:rPr>
                <w:rFonts w:hint="eastAsia"/>
                <w:color w:val="000000"/>
                <w:sz w:val="20"/>
                <w:szCs w:val="20"/>
                <w:vertAlign w:val="baseline"/>
                <w:lang w:val="en-US" w:eastAsia="zh-CN"/>
              </w:rPr>
            </w:pPr>
            <w:r>
              <w:rPr>
                <w:rFonts w:hint="eastAsia"/>
                <w:color w:val="000000"/>
                <w:sz w:val="20"/>
                <w:szCs w:val="20"/>
                <w:vertAlign w:val="baseline"/>
                <w:lang w:val="en-US" w:eastAsia="zh-CN"/>
              </w:rPr>
              <w:t>There is not need to update the TAC in real-time.</w:t>
            </w:r>
          </w:p>
        </w:tc>
        <w:tc>
          <w:tcPr>
            <w:tcW w:w="3333" w:type="dxa"/>
            <w:tcBorders>
              <w:top w:val="single" w:color="9BBB59" w:sz="8" w:space="0"/>
              <w:left w:val="dotted" w:color="auto" w:sz="8" w:space="0"/>
              <w:bottom w:val="single" w:color="9BBB59" w:sz="8" w:space="0"/>
              <w:right w:val="single" w:color="9BBB59" w:sz="8" w:space="0"/>
            </w:tcBorders>
            <w:shd w:val="clear" w:color="auto" w:fill="FFFFFF"/>
            <w:vAlign w:val="top"/>
          </w:tcPr>
          <w:p>
            <w:pPr>
              <w:widowControl w:val="0"/>
              <w:numPr>
                <w:ilvl w:val="0"/>
                <w:numId w:val="0"/>
              </w:numPr>
              <w:spacing w:after="160" w:line="259" w:lineRule="auto"/>
              <w:jc w:val="both"/>
              <w:rPr>
                <w:rFonts w:hint="eastAsia"/>
                <w:color w:val="000000"/>
                <w:sz w:val="20"/>
                <w:szCs w:val="20"/>
                <w:vertAlign w:val="baseline"/>
                <w:lang w:val="en-US" w:eastAsia="zh-CN"/>
              </w:rPr>
            </w:pPr>
            <w:r>
              <w:rPr>
                <w:rFonts w:hint="eastAsia"/>
                <w:color w:val="000000"/>
                <w:sz w:val="20"/>
                <w:szCs w:val="20"/>
                <w:vertAlign w:val="baseline"/>
                <w:lang w:val="en-US" w:eastAsia="zh-CN"/>
              </w:rPr>
              <w:t>Applicable only for UE with GNSS support.</w:t>
            </w:r>
          </w:p>
        </w:tc>
      </w:tr>
    </w:tbl>
    <w:p>
      <w:pPr>
        <w:rPr>
          <w:rFonts w:hint="eastAsia"/>
          <w:sz w:val="20"/>
          <w:szCs w:val="20"/>
          <w:lang w:val="en-US" w:eastAsia="zh-CN"/>
        </w:rPr>
      </w:pPr>
      <w:r>
        <w:rPr>
          <w:rFonts w:hint="eastAsia"/>
          <w:sz w:val="20"/>
          <w:szCs w:val="20"/>
          <w:lang w:val="en-US" w:eastAsia="zh-CN"/>
        </w:rPr>
        <w:t>Since the Alt.2 can only work for UE with GNSS support, we think the Alt.1 should be considered as baseline.</w:t>
      </w:r>
    </w:p>
    <w:p>
      <w:pPr>
        <w:rPr>
          <w:rFonts w:hint="eastAsia"/>
          <w:b/>
          <w:bCs/>
          <w:sz w:val="20"/>
          <w:szCs w:val="20"/>
          <w:lang w:val="en-US" w:eastAsia="zh-CN"/>
        </w:rPr>
      </w:pPr>
      <w:r>
        <w:rPr>
          <w:rFonts w:hint="eastAsia"/>
          <w:b/>
          <w:bCs/>
          <w:sz w:val="20"/>
          <w:szCs w:val="20"/>
          <w:lang w:val="en-US" w:eastAsia="zh-CN"/>
        </w:rPr>
        <w:t>Proposal 2: The UE should be able to determine the TA based on the information received in SIB1. And the TA information should still be included in the SIB1 in NTN for both fixed beam case and moving beam case.</w:t>
      </w:r>
    </w:p>
    <w:p>
      <w:pPr>
        <w:rPr>
          <w:rFonts w:hint="eastAsia"/>
          <w:sz w:val="20"/>
          <w:szCs w:val="20"/>
          <w:lang w:val="en-US" w:eastAsia="zh-CN"/>
        </w:rPr>
      </w:pPr>
      <w:r>
        <w:rPr>
          <w:rFonts w:hint="eastAsia"/>
          <w:sz w:val="20"/>
          <w:szCs w:val="20"/>
          <w:lang w:val="en-US" w:eastAsia="zh-CN"/>
        </w:rPr>
        <w:t xml:space="preserve">Besides the Alt.1, as the analysis given above, we also see some benefits to allow the determination of TA on UE side based on the available location information, thus we think it can still be studied in the future whether the Alt.2 can be used as a complement of Alt.1 to enable more precise TA management and reduce the load of paging. </w:t>
      </w:r>
    </w:p>
    <w:p>
      <w:pPr>
        <w:rPr>
          <w:rFonts w:hint="eastAsia"/>
          <w:sz w:val="20"/>
          <w:szCs w:val="20"/>
          <w:lang w:val="en-US" w:eastAsia="zh-CN"/>
        </w:rPr>
      </w:pPr>
      <w:r>
        <w:rPr>
          <w:rFonts w:hint="eastAsia"/>
          <w:sz w:val="20"/>
          <w:szCs w:val="20"/>
          <w:lang w:val="en-US" w:eastAsia="zh-CN"/>
        </w:rPr>
        <w:t>However, since the TA management is part of NAS function and the TA management is processed through NAS signaling, even though the Alt.2 is allowed (i.e. UE is allowed to determine the TA based on the location information maintained on UE side only), the UE will report its calculated TA through NAS signaling as well, and no clear impact can be identified from RAN2</w:t>
      </w:r>
      <w:r>
        <w:rPr>
          <w:rFonts w:hint="default"/>
          <w:sz w:val="20"/>
          <w:szCs w:val="20"/>
          <w:lang w:val="en-US" w:eastAsia="zh-CN"/>
        </w:rPr>
        <w:t>’</w:t>
      </w:r>
      <w:r>
        <w:rPr>
          <w:rFonts w:hint="eastAsia"/>
          <w:sz w:val="20"/>
          <w:szCs w:val="20"/>
          <w:lang w:val="en-US" w:eastAsia="zh-CN"/>
        </w:rPr>
        <w:t>s perspective. Also considering there is on-going discussion in SA2 on the NTN as well, and the TA management has already been identified as one of the key issues need to be addressed for NTN in TR 23.737 [1], we think the discussion on TA management can be left to SA2 and no optimization needs to be discussed in RAN2 unless input is received from SA2.</w:t>
      </w:r>
    </w:p>
    <w:p>
      <w:pPr>
        <w:rPr>
          <w:rFonts w:hint="eastAsia"/>
          <w:b/>
          <w:bCs/>
          <w:sz w:val="20"/>
          <w:szCs w:val="20"/>
          <w:lang w:val="en-US" w:eastAsia="zh-CN"/>
        </w:rPr>
      </w:pPr>
      <w:r>
        <w:rPr>
          <w:rFonts w:hint="eastAsia"/>
          <w:b/>
          <w:bCs/>
          <w:sz w:val="20"/>
          <w:szCs w:val="20"/>
          <w:lang w:val="en-US" w:eastAsia="zh-CN"/>
        </w:rPr>
        <w:t>Observation 2: Since the TA management is part of NAS function, and the TA management has already been identified as one of the key issues need to be addressed for NTN in SA2 (TR 23.737 [2]), in order to avoid parallel discussion, the issue related to TA management can be left to SA2.</w:t>
      </w:r>
    </w:p>
    <w:p>
      <w:pPr>
        <w:rPr>
          <w:rFonts w:hint="eastAsia"/>
          <w:b/>
          <w:bCs/>
          <w:sz w:val="20"/>
          <w:szCs w:val="20"/>
          <w:lang w:val="en-US" w:eastAsia="zh-CN"/>
        </w:rPr>
      </w:pPr>
      <w:r>
        <w:rPr>
          <w:rFonts w:hint="eastAsia"/>
          <w:b/>
          <w:bCs/>
          <w:sz w:val="20"/>
          <w:szCs w:val="20"/>
          <w:lang w:val="en-US" w:eastAsia="zh-CN"/>
        </w:rPr>
        <w:t>Proposal 3: The discussion on TA management can be left to SA2 and no optimization needs to be discussed in RAN2 unless input from SA2 is received.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 xml:space="preserve">With the above analysis, we have the following </w:t>
      </w:r>
      <w:r>
        <w:rPr>
          <w:rFonts w:hint="eastAsia"/>
          <w:lang w:val="en-US" w:eastAsia="zh-CN"/>
        </w:rPr>
        <w:t xml:space="preserve">observations and </w:t>
      </w:r>
      <w:r>
        <w:rPr>
          <w:rFonts w:hint="eastAsia"/>
        </w:rPr>
        <w:t>proposals:</w:t>
      </w:r>
    </w:p>
    <w:p>
      <w:pPr>
        <w:rPr>
          <w:rFonts w:hint="eastAsia"/>
          <w:sz w:val="20"/>
          <w:szCs w:val="20"/>
          <w:lang w:val="en-US" w:eastAsia="zh-CN"/>
        </w:rPr>
      </w:pPr>
      <w:r>
        <w:rPr>
          <w:rFonts w:hint="eastAsia" w:eastAsia="宋体"/>
          <w:b/>
          <w:bCs/>
          <w:sz w:val="20"/>
          <w:szCs w:val="20"/>
          <w:lang w:val="en-US" w:eastAsia="zh-CN"/>
        </w:rPr>
        <w:t>Observation1: The TA strategy in terrestrial networks is not efficient in non-terrestrial networks, e.g. LEO, due to massive TAU/RNAU even for earth-stationary UEs.</w:t>
      </w:r>
    </w:p>
    <w:p>
      <w:pPr>
        <w:rPr>
          <w:rFonts w:hint="eastAsia" w:eastAsia="宋体"/>
          <w:b/>
          <w:bCs/>
          <w:sz w:val="20"/>
          <w:szCs w:val="20"/>
          <w:lang w:val="en-US" w:eastAsia="zh-CN"/>
        </w:rPr>
      </w:pPr>
      <w:r>
        <w:rPr>
          <w:rFonts w:hint="eastAsia" w:eastAsia="宋体"/>
          <w:b/>
          <w:bCs/>
          <w:sz w:val="20"/>
          <w:szCs w:val="20"/>
          <w:lang w:val="en-US" w:eastAsia="zh-CN"/>
        </w:rPr>
        <w:t>Proposal 1: For LEO with moving beams, tracking area identity is planned and associated with geographical position, i.e. static on earth.</w:t>
      </w:r>
    </w:p>
    <w:p>
      <w:pPr>
        <w:rPr>
          <w:rFonts w:hint="eastAsia"/>
          <w:b/>
          <w:bCs/>
          <w:sz w:val="20"/>
          <w:szCs w:val="20"/>
          <w:lang w:val="en-US" w:eastAsia="zh-CN"/>
        </w:rPr>
      </w:pPr>
      <w:r>
        <w:rPr>
          <w:rFonts w:hint="eastAsia"/>
          <w:b/>
          <w:bCs/>
          <w:sz w:val="20"/>
          <w:szCs w:val="20"/>
          <w:lang w:val="en-US" w:eastAsia="zh-CN"/>
        </w:rPr>
        <w:t>Proposal 2: The UE should be able to determine the TA based on the information received in SIB1. And the TA information should still be included in the SIB1 in NTN for both fixed beam case and moving beam case.</w:t>
      </w:r>
    </w:p>
    <w:p>
      <w:pPr>
        <w:rPr>
          <w:rFonts w:hint="eastAsia"/>
          <w:b/>
          <w:bCs/>
          <w:sz w:val="20"/>
          <w:szCs w:val="20"/>
          <w:lang w:val="en-US" w:eastAsia="zh-CN"/>
        </w:rPr>
      </w:pPr>
      <w:r>
        <w:rPr>
          <w:rFonts w:hint="eastAsia"/>
          <w:b/>
          <w:bCs/>
          <w:sz w:val="20"/>
          <w:szCs w:val="20"/>
          <w:lang w:val="en-US" w:eastAsia="zh-CN"/>
        </w:rPr>
        <w:t>Observation 2: Since the TA management is part of NAS function, and the TA management has already been identified as one of the key issues need to be addressed for NTN in SA2 (TR 23.737 [2]), in order to avoid parallel discussion, the issue related to TA management can be left to SA2.</w:t>
      </w:r>
    </w:p>
    <w:p>
      <w:pPr>
        <w:rPr>
          <w:rFonts w:hint="eastAsia"/>
          <w:b/>
          <w:bCs/>
          <w:sz w:val="20"/>
          <w:szCs w:val="20"/>
          <w:lang w:val="en-US" w:eastAsia="zh-CN"/>
        </w:rPr>
      </w:pPr>
      <w:r>
        <w:rPr>
          <w:rFonts w:hint="eastAsia"/>
          <w:b/>
          <w:bCs/>
          <w:sz w:val="20"/>
          <w:szCs w:val="20"/>
          <w:lang w:val="en-US" w:eastAsia="zh-CN"/>
        </w:rPr>
        <w:t>Proposal 3: The discussion on TA management can be left to SA2 and no optimization needs to be discussed in RAN2 unless input from SA2 is received.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6"/>
        </w:numPr>
        <w:ind w:firstLineChars="0"/>
        <w:rPr>
          <w:sz w:val="20"/>
          <w:szCs w:val="20"/>
        </w:rPr>
      </w:pPr>
      <w:r>
        <w:rPr>
          <w:rFonts w:hint="eastAsia"/>
          <w:sz w:val="20"/>
          <w:szCs w:val="20"/>
          <w:lang w:val="en-US" w:eastAsia="zh-CN"/>
        </w:rPr>
        <w:t xml:space="preserve">TR 23.737 </w:t>
      </w:r>
      <w:r>
        <w:rPr>
          <w:rFonts w:hint="eastAsia"/>
          <w:sz w:val="20"/>
          <w:szCs w:val="20"/>
          <w:lang w:val="en-GB"/>
        </w:rPr>
        <w:t>Study on architecture aspects for using satellite access in 5G</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E541D1"/>
    <w:multiLevelType w:val="singleLevel"/>
    <w:tmpl w:val="BEE541D1"/>
    <w:lvl w:ilvl="0" w:tentative="0">
      <w:start w:val="1"/>
      <w:numFmt w:val="decimal"/>
      <w:lvlText w:val="(%1)"/>
      <w:lvlJc w:val="left"/>
      <w:pPr>
        <w:tabs>
          <w:tab w:val="left" w:pos="312"/>
        </w:tabs>
      </w:p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092A8F6"/>
    <w:multiLevelType w:val="singleLevel"/>
    <w:tmpl w:val="0092A8F6"/>
    <w:lvl w:ilvl="0" w:tentative="0">
      <w:start w:val="1"/>
      <w:numFmt w:val="decimal"/>
      <w:suff w:val="space"/>
      <w:lvlText w:val="%1."/>
      <w:lvlJc w:val="left"/>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A47"/>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3D6F"/>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D72C3"/>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1594A"/>
    <w:rsid w:val="01100128"/>
    <w:rsid w:val="01163216"/>
    <w:rsid w:val="011A3AD5"/>
    <w:rsid w:val="01243CBE"/>
    <w:rsid w:val="01392B1D"/>
    <w:rsid w:val="01427510"/>
    <w:rsid w:val="016731E8"/>
    <w:rsid w:val="01724323"/>
    <w:rsid w:val="019F0207"/>
    <w:rsid w:val="01B354EB"/>
    <w:rsid w:val="01B409B2"/>
    <w:rsid w:val="01CD58EA"/>
    <w:rsid w:val="01D43359"/>
    <w:rsid w:val="01E05D9F"/>
    <w:rsid w:val="01E4753D"/>
    <w:rsid w:val="01F6071A"/>
    <w:rsid w:val="02105BCC"/>
    <w:rsid w:val="0213188C"/>
    <w:rsid w:val="02214443"/>
    <w:rsid w:val="02437D3E"/>
    <w:rsid w:val="024B45DB"/>
    <w:rsid w:val="02746E99"/>
    <w:rsid w:val="027F11AC"/>
    <w:rsid w:val="028470E8"/>
    <w:rsid w:val="02911F73"/>
    <w:rsid w:val="02951E8A"/>
    <w:rsid w:val="02B219C0"/>
    <w:rsid w:val="02C27DEA"/>
    <w:rsid w:val="02C57546"/>
    <w:rsid w:val="02E45D08"/>
    <w:rsid w:val="02EB2A7B"/>
    <w:rsid w:val="033F5DF4"/>
    <w:rsid w:val="034058DA"/>
    <w:rsid w:val="039F12E8"/>
    <w:rsid w:val="03A13769"/>
    <w:rsid w:val="03CD3963"/>
    <w:rsid w:val="03D86161"/>
    <w:rsid w:val="04115871"/>
    <w:rsid w:val="04176266"/>
    <w:rsid w:val="04231D6E"/>
    <w:rsid w:val="04345F6F"/>
    <w:rsid w:val="043E3BD3"/>
    <w:rsid w:val="044F3FE8"/>
    <w:rsid w:val="04521421"/>
    <w:rsid w:val="04746FED"/>
    <w:rsid w:val="047E4A8F"/>
    <w:rsid w:val="04865192"/>
    <w:rsid w:val="048E11A9"/>
    <w:rsid w:val="0496225D"/>
    <w:rsid w:val="049F212F"/>
    <w:rsid w:val="04AC1919"/>
    <w:rsid w:val="04D21FF5"/>
    <w:rsid w:val="04D7059C"/>
    <w:rsid w:val="04F512AE"/>
    <w:rsid w:val="05044386"/>
    <w:rsid w:val="0536681D"/>
    <w:rsid w:val="054C7D1C"/>
    <w:rsid w:val="05837B30"/>
    <w:rsid w:val="05910818"/>
    <w:rsid w:val="05B63D95"/>
    <w:rsid w:val="05B644A3"/>
    <w:rsid w:val="05DE0196"/>
    <w:rsid w:val="05EF0EFA"/>
    <w:rsid w:val="05F7165D"/>
    <w:rsid w:val="06017CE0"/>
    <w:rsid w:val="06365B50"/>
    <w:rsid w:val="06393E16"/>
    <w:rsid w:val="064745C2"/>
    <w:rsid w:val="06527270"/>
    <w:rsid w:val="06561355"/>
    <w:rsid w:val="065E6CDE"/>
    <w:rsid w:val="0665689F"/>
    <w:rsid w:val="066D0A61"/>
    <w:rsid w:val="06783558"/>
    <w:rsid w:val="068A20E4"/>
    <w:rsid w:val="069063D8"/>
    <w:rsid w:val="069713C1"/>
    <w:rsid w:val="06B07AFB"/>
    <w:rsid w:val="06B82D78"/>
    <w:rsid w:val="06D37910"/>
    <w:rsid w:val="06D5029F"/>
    <w:rsid w:val="06D73D91"/>
    <w:rsid w:val="06E53061"/>
    <w:rsid w:val="07125F5D"/>
    <w:rsid w:val="07271B20"/>
    <w:rsid w:val="073A2A17"/>
    <w:rsid w:val="074C2538"/>
    <w:rsid w:val="07847096"/>
    <w:rsid w:val="07C03175"/>
    <w:rsid w:val="07CE2E21"/>
    <w:rsid w:val="07DE52F0"/>
    <w:rsid w:val="08242518"/>
    <w:rsid w:val="08290E07"/>
    <w:rsid w:val="083A7B9E"/>
    <w:rsid w:val="085E2B02"/>
    <w:rsid w:val="088B5031"/>
    <w:rsid w:val="088F268A"/>
    <w:rsid w:val="08B151BF"/>
    <w:rsid w:val="08B51BA5"/>
    <w:rsid w:val="08D82186"/>
    <w:rsid w:val="091F1E33"/>
    <w:rsid w:val="0926712F"/>
    <w:rsid w:val="093F645D"/>
    <w:rsid w:val="094F44E3"/>
    <w:rsid w:val="096275FE"/>
    <w:rsid w:val="09807390"/>
    <w:rsid w:val="098C23B7"/>
    <w:rsid w:val="099E5D88"/>
    <w:rsid w:val="09A2202C"/>
    <w:rsid w:val="09C0148B"/>
    <w:rsid w:val="09C270D8"/>
    <w:rsid w:val="09E674F4"/>
    <w:rsid w:val="09E91644"/>
    <w:rsid w:val="09F403C0"/>
    <w:rsid w:val="0A41647C"/>
    <w:rsid w:val="0A436C11"/>
    <w:rsid w:val="0A4C3F6C"/>
    <w:rsid w:val="0A651D55"/>
    <w:rsid w:val="0AA77F22"/>
    <w:rsid w:val="0AAE3FA8"/>
    <w:rsid w:val="0AD647A5"/>
    <w:rsid w:val="0B09024B"/>
    <w:rsid w:val="0B24396B"/>
    <w:rsid w:val="0B31757D"/>
    <w:rsid w:val="0B49387C"/>
    <w:rsid w:val="0B560B94"/>
    <w:rsid w:val="0B8B13F4"/>
    <w:rsid w:val="0B94771A"/>
    <w:rsid w:val="0BE004CF"/>
    <w:rsid w:val="0BE120C4"/>
    <w:rsid w:val="0BE57B4E"/>
    <w:rsid w:val="0BF83F28"/>
    <w:rsid w:val="0C3255F2"/>
    <w:rsid w:val="0C755CB5"/>
    <w:rsid w:val="0C8B0E25"/>
    <w:rsid w:val="0CB04A70"/>
    <w:rsid w:val="0CB22C22"/>
    <w:rsid w:val="0CB462F3"/>
    <w:rsid w:val="0CCC596D"/>
    <w:rsid w:val="0CE46F4E"/>
    <w:rsid w:val="0CFF1F19"/>
    <w:rsid w:val="0D064EBC"/>
    <w:rsid w:val="0D225767"/>
    <w:rsid w:val="0D346C04"/>
    <w:rsid w:val="0D387415"/>
    <w:rsid w:val="0D551567"/>
    <w:rsid w:val="0D791AD7"/>
    <w:rsid w:val="0D7A3592"/>
    <w:rsid w:val="0D94360A"/>
    <w:rsid w:val="0DAF3CC4"/>
    <w:rsid w:val="0DB63E92"/>
    <w:rsid w:val="0DC43254"/>
    <w:rsid w:val="0DFE362D"/>
    <w:rsid w:val="0E17220C"/>
    <w:rsid w:val="0E4F3F26"/>
    <w:rsid w:val="0E734461"/>
    <w:rsid w:val="0E776F22"/>
    <w:rsid w:val="0E927861"/>
    <w:rsid w:val="0EA04D7B"/>
    <w:rsid w:val="0EA4482A"/>
    <w:rsid w:val="0EA926E0"/>
    <w:rsid w:val="0EC132D7"/>
    <w:rsid w:val="0ECD33DF"/>
    <w:rsid w:val="0EDC3297"/>
    <w:rsid w:val="0EE700B0"/>
    <w:rsid w:val="0F0E6CDB"/>
    <w:rsid w:val="0F4340EF"/>
    <w:rsid w:val="0F59104A"/>
    <w:rsid w:val="0F5D7EF2"/>
    <w:rsid w:val="0F5F1287"/>
    <w:rsid w:val="0F685729"/>
    <w:rsid w:val="0F70152C"/>
    <w:rsid w:val="0FC346D1"/>
    <w:rsid w:val="0FDB1049"/>
    <w:rsid w:val="0FE322F6"/>
    <w:rsid w:val="0FF8213F"/>
    <w:rsid w:val="10133D23"/>
    <w:rsid w:val="102F5257"/>
    <w:rsid w:val="103E22B2"/>
    <w:rsid w:val="106E070C"/>
    <w:rsid w:val="10910A6C"/>
    <w:rsid w:val="10937379"/>
    <w:rsid w:val="10C53D80"/>
    <w:rsid w:val="10DE5F6D"/>
    <w:rsid w:val="10E75ECD"/>
    <w:rsid w:val="10FE02D8"/>
    <w:rsid w:val="110F2DD6"/>
    <w:rsid w:val="111E737C"/>
    <w:rsid w:val="11445096"/>
    <w:rsid w:val="114C7F4B"/>
    <w:rsid w:val="11A03EFE"/>
    <w:rsid w:val="11D84916"/>
    <w:rsid w:val="11E01EB5"/>
    <w:rsid w:val="11FD0D0E"/>
    <w:rsid w:val="12015EA8"/>
    <w:rsid w:val="12112075"/>
    <w:rsid w:val="12146A64"/>
    <w:rsid w:val="123A43C6"/>
    <w:rsid w:val="12403D21"/>
    <w:rsid w:val="125E6811"/>
    <w:rsid w:val="128B57E5"/>
    <w:rsid w:val="129402A3"/>
    <w:rsid w:val="129B27C3"/>
    <w:rsid w:val="129B43AC"/>
    <w:rsid w:val="12DD13AC"/>
    <w:rsid w:val="12F41B54"/>
    <w:rsid w:val="1332674C"/>
    <w:rsid w:val="135637DB"/>
    <w:rsid w:val="1357550B"/>
    <w:rsid w:val="136F32A6"/>
    <w:rsid w:val="13933000"/>
    <w:rsid w:val="139C112D"/>
    <w:rsid w:val="13AD4C79"/>
    <w:rsid w:val="13BC7E67"/>
    <w:rsid w:val="13D75C00"/>
    <w:rsid w:val="13E30B7D"/>
    <w:rsid w:val="13ED04A7"/>
    <w:rsid w:val="1402132F"/>
    <w:rsid w:val="140947EE"/>
    <w:rsid w:val="142903E8"/>
    <w:rsid w:val="144A0D85"/>
    <w:rsid w:val="145A1D5A"/>
    <w:rsid w:val="145C6F47"/>
    <w:rsid w:val="146C12BB"/>
    <w:rsid w:val="14791CE3"/>
    <w:rsid w:val="148C237F"/>
    <w:rsid w:val="14A06FC1"/>
    <w:rsid w:val="14B94964"/>
    <w:rsid w:val="14D969A6"/>
    <w:rsid w:val="15337D09"/>
    <w:rsid w:val="153C211B"/>
    <w:rsid w:val="155D0A7F"/>
    <w:rsid w:val="156F1C12"/>
    <w:rsid w:val="1580763A"/>
    <w:rsid w:val="1586427B"/>
    <w:rsid w:val="15967E8D"/>
    <w:rsid w:val="159A07D2"/>
    <w:rsid w:val="15C06260"/>
    <w:rsid w:val="15CD63F4"/>
    <w:rsid w:val="15DD4A1C"/>
    <w:rsid w:val="15FA5770"/>
    <w:rsid w:val="16263368"/>
    <w:rsid w:val="168521B8"/>
    <w:rsid w:val="16A5270A"/>
    <w:rsid w:val="16B56C2D"/>
    <w:rsid w:val="16C938F5"/>
    <w:rsid w:val="16D61CD9"/>
    <w:rsid w:val="16E74CBD"/>
    <w:rsid w:val="175B1D16"/>
    <w:rsid w:val="1793303A"/>
    <w:rsid w:val="179C79A4"/>
    <w:rsid w:val="17AC1600"/>
    <w:rsid w:val="17D52F7B"/>
    <w:rsid w:val="17EB75B0"/>
    <w:rsid w:val="17F5084F"/>
    <w:rsid w:val="18440068"/>
    <w:rsid w:val="18502972"/>
    <w:rsid w:val="185159AA"/>
    <w:rsid w:val="18A5771F"/>
    <w:rsid w:val="18AF74E1"/>
    <w:rsid w:val="18D45411"/>
    <w:rsid w:val="18F62A39"/>
    <w:rsid w:val="18F8655D"/>
    <w:rsid w:val="18FE2979"/>
    <w:rsid w:val="19057478"/>
    <w:rsid w:val="190E7C32"/>
    <w:rsid w:val="19160144"/>
    <w:rsid w:val="191F38B0"/>
    <w:rsid w:val="194D75B6"/>
    <w:rsid w:val="1951139B"/>
    <w:rsid w:val="195600F1"/>
    <w:rsid w:val="19595274"/>
    <w:rsid w:val="197141ED"/>
    <w:rsid w:val="1975293B"/>
    <w:rsid w:val="19934AEB"/>
    <w:rsid w:val="19BC030D"/>
    <w:rsid w:val="19E0148D"/>
    <w:rsid w:val="19E675DB"/>
    <w:rsid w:val="1A523105"/>
    <w:rsid w:val="1A5562D2"/>
    <w:rsid w:val="1A7857C1"/>
    <w:rsid w:val="1AC94D1F"/>
    <w:rsid w:val="1ACE7057"/>
    <w:rsid w:val="1AD6153D"/>
    <w:rsid w:val="1ADA55B5"/>
    <w:rsid w:val="1ADC1643"/>
    <w:rsid w:val="1ADF0AC1"/>
    <w:rsid w:val="1B094BB4"/>
    <w:rsid w:val="1B192659"/>
    <w:rsid w:val="1B193B18"/>
    <w:rsid w:val="1B3B5A5B"/>
    <w:rsid w:val="1B400993"/>
    <w:rsid w:val="1B4A340F"/>
    <w:rsid w:val="1BA90931"/>
    <w:rsid w:val="1BAF3854"/>
    <w:rsid w:val="1BD56E55"/>
    <w:rsid w:val="1BD82C95"/>
    <w:rsid w:val="1BE16AFC"/>
    <w:rsid w:val="1BEC65C0"/>
    <w:rsid w:val="1BF76A78"/>
    <w:rsid w:val="1C3159DD"/>
    <w:rsid w:val="1C3441A7"/>
    <w:rsid w:val="1C365CFE"/>
    <w:rsid w:val="1C7C5F29"/>
    <w:rsid w:val="1CC05CC7"/>
    <w:rsid w:val="1CD66AF0"/>
    <w:rsid w:val="1CD814C5"/>
    <w:rsid w:val="1CE122CF"/>
    <w:rsid w:val="1D2F1D46"/>
    <w:rsid w:val="1D51270F"/>
    <w:rsid w:val="1DB12820"/>
    <w:rsid w:val="1DBD16BE"/>
    <w:rsid w:val="1DC11297"/>
    <w:rsid w:val="1DC61399"/>
    <w:rsid w:val="1DF15A34"/>
    <w:rsid w:val="1E1F62DB"/>
    <w:rsid w:val="1E2B3BCE"/>
    <w:rsid w:val="1E3F0D90"/>
    <w:rsid w:val="1E4B77EA"/>
    <w:rsid w:val="1E5F399D"/>
    <w:rsid w:val="1E766DF2"/>
    <w:rsid w:val="1E780410"/>
    <w:rsid w:val="1E8E5EF5"/>
    <w:rsid w:val="1EB96814"/>
    <w:rsid w:val="1EC76DC7"/>
    <w:rsid w:val="1EC85A19"/>
    <w:rsid w:val="1ED92D03"/>
    <w:rsid w:val="1EF0541B"/>
    <w:rsid w:val="1F1B6A59"/>
    <w:rsid w:val="1F1D3619"/>
    <w:rsid w:val="1F235508"/>
    <w:rsid w:val="1F2F1AF9"/>
    <w:rsid w:val="1F444220"/>
    <w:rsid w:val="1F4D339A"/>
    <w:rsid w:val="1F517B8E"/>
    <w:rsid w:val="1F592D59"/>
    <w:rsid w:val="1F904F2D"/>
    <w:rsid w:val="1F9C3C77"/>
    <w:rsid w:val="1FD81AFC"/>
    <w:rsid w:val="1FE31889"/>
    <w:rsid w:val="1FE761B1"/>
    <w:rsid w:val="200F4543"/>
    <w:rsid w:val="20600899"/>
    <w:rsid w:val="206D77FE"/>
    <w:rsid w:val="2075205C"/>
    <w:rsid w:val="20766B5D"/>
    <w:rsid w:val="207C5A77"/>
    <w:rsid w:val="20961B64"/>
    <w:rsid w:val="20A56834"/>
    <w:rsid w:val="20AA06CD"/>
    <w:rsid w:val="20B51035"/>
    <w:rsid w:val="20B53FF2"/>
    <w:rsid w:val="20CC063E"/>
    <w:rsid w:val="20D85910"/>
    <w:rsid w:val="20EC3E50"/>
    <w:rsid w:val="20EF4392"/>
    <w:rsid w:val="20F815BD"/>
    <w:rsid w:val="210114BB"/>
    <w:rsid w:val="212D1323"/>
    <w:rsid w:val="216C4AD0"/>
    <w:rsid w:val="21737460"/>
    <w:rsid w:val="2176492F"/>
    <w:rsid w:val="217F5FEA"/>
    <w:rsid w:val="21E26D67"/>
    <w:rsid w:val="21EC5465"/>
    <w:rsid w:val="21FC4A83"/>
    <w:rsid w:val="220348F7"/>
    <w:rsid w:val="22156802"/>
    <w:rsid w:val="223A1D76"/>
    <w:rsid w:val="226709A2"/>
    <w:rsid w:val="228B310C"/>
    <w:rsid w:val="22C22C57"/>
    <w:rsid w:val="233272DB"/>
    <w:rsid w:val="234E59AA"/>
    <w:rsid w:val="2376738D"/>
    <w:rsid w:val="23925C55"/>
    <w:rsid w:val="23E863E8"/>
    <w:rsid w:val="23EF6864"/>
    <w:rsid w:val="241B3778"/>
    <w:rsid w:val="243A6DF4"/>
    <w:rsid w:val="24560AE2"/>
    <w:rsid w:val="24794836"/>
    <w:rsid w:val="248B1B8F"/>
    <w:rsid w:val="248C391F"/>
    <w:rsid w:val="249700EF"/>
    <w:rsid w:val="24A90BB5"/>
    <w:rsid w:val="24CA22B5"/>
    <w:rsid w:val="24EB0386"/>
    <w:rsid w:val="24EE205A"/>
    <w:rsid w:val="24FB2617"/>
    <w:rsid w:val="24FE54BC"/>
    <w:rsid w:val="2502385F"/>
    <w:rsid w:val="250B6210"/>
    <w:rsid w:val="25493BC7"/>
    <w:rsid w:val="254F48B6"/>
    <w:rsid w:val="256F2575"/>
    <w:rsid w:val="25781361"/>
    <w:rsid w:val="258D0D05"/>
    <w:rsid w:val="25A65B5B"/>
    <w:rsid w:val="25CD3FBC"/>
    <w:rsid w:val="25E540FF"/>
    <w:rsid w:val="25FE3FFD"/>
    <w:rsid w:val="26533224"/>
    <w:rsid w:val="26541061"/>
    <w:rsid w:val="265B01BD"/>
    <w:rsid w:val="26C54B9B"/>
    <w:rsid w:val="26C6512F"/>
    <w:rsid w:val="26DB1D4B"/>
    <w:rsid w:val="26FF3DC8"/>
    <w:rsid w:val="277C6089"/>
    <w:rsid w:val="27A449A7"/>
    <w:rsid w:val="27BC433E"/>
    <w:rsid w:val="27CE139A"/>
    <w:rsid w:val="27E25E49"/>
    <w:rsid w:val="27E63AB6"/>
    <w:rsid w:val="27F231DD"/>
    <w:rsid w:val="282B4784"/>
    <w:rsid w:val="283648D8"/>
    <w:rsid w:val="2845270C"/>
    <w:rsid w:val="285C6B52"/>
    <w:rsid w:val="2887164E"/>
    <w:rsid w:val="288B2E18"/>
    <w:rsid w:val="289F3F89"/>
    <w:rsid w:val="28A843B1"/>
    <w:rsid w:val="28E875B3"/>
    <w:rsid w:val="28EB1022"/>
    <w:rsid w:val="29326B8F"/>
    <w:rsid w:val="298D0F22"/>
    <w:rsid w:val="29B025A4"/>
    <w:rsid w:val="29D10998"/>
    <w:rsid w:val="29F101FE"/>
    <w:rsid w:val="29F83E3A"/>
    <w:rsid w:val="29FC0A34"/>
    <w:rsid w:val="2A460495"/>
    <w:rsid w:val="2A542476"/>
    <w:rsid w:val="2A606A48"/>
    <w:rsid w:val="2A9B6F1B"/>
    <w:rsid w:val="2A9E60D9"/>
    <w:rsid w:val="2AA07DD6"/>
    <w:rsid w:val="2AA665FD"/>
    <w:rsid w:val="2AAA79B8"/>
    <w:rsid w:val="2AC43F9F"/>
    <w:rsid w:val="2AD05183"/>
    <w:rsid w:val="2AEC22C7"/>
    <w:rsid w:val="2B0738F0"/>
    <w:rsid w:val="2B0E0F65"/>
    <w:rsid w:val="2B374C7F"/>
    <w:rsid w:val="2B3F420A"/>
    <w:rsid w:val="2B510311"/>
    <w:rsid w:val="2B593E95"/>
    <w:rsid w:val="2B7D13CC"/>
    <w:rsid w:val="2B8876B4"/>
    <w:rsid w:val="2BA13AB1"/>
    <w:rsid w:val="2BB32489"/>
    <w:rsid w:val="2BD94617"/>
    <w:rsid w:val="2BDD4799"/>
    <w:rsid w:val="2C467CD2"/>
    <w:rsid w:val="2C4C4186"/>
    <w:rsid w:val="2C4C5BF6"/>
    <w:rsid w:val="2CB771ED"/>
    <w:rsid w:val="2CC130AA"/>
    <w:rsid w:val="2CE04532"/>
    <w:rsid w:val="2D0A6D50"/>
    <w:rsid w:val="2D0A7297"/>
    <w:rsid w:val="2D95174A"/>
    <w:rsid w:val="2DD229E6"/>
    <w:rsid w:val="2DD73448"/>
    <w:rsid w:val="2DE70634"/>
    <w:rsid w:val="2E05745B"/>
    <w:rsid w:val="2E1B2ADA"/>
    <w:rsid w:val="2E225A24"/>
    <w:rsid w:val="2E2561B5"/>
    <w:rsid w:val="2E6E03B6"/>
    <w:rsid w:val="2E6E553E"/>
    <w:rsid w:val="2E8904E0"/>
    <w:rsid w:val="2EA67F9D"/>
    <w:rsid w:val="2EAD6133"/>
    <w:rsid w:val="2EB259EE"/>
    <w:rsid w:val="2EBA175B"/>
    <w:rsid w:val="2EBC0D00"/>
    <w:rsid w:val="2ED237F3"/>
    <w:rsid w:val="2ED57559"/>
    <w:rsid w:val="2F0C4C2A"/>
    <w:rsid w:val="2F0F563F"/>
    <w:rsid w:val="2F170C0F"/>
    <w:rsid w:val="2F1F3A4D"/>
    <w:rsid w:val="2F4558F1"/>
    <w:rsid w:val="2F784790"/>
    <w:rsid w:val="2F7B36A8"/>
    <w:rsid w:val="2FAA5E1A"/>
    <w:rsid w:val="2FAB4623"/>
    <w:rsid w:val="2FD32A7A"/>
    <w:rsid w:val="2FDF6214"/>
    <w:rsid w:val="300A43D0"/>
    <w:rsid w:val="30264A9E"/>
    <w:rsid w:val="302E6167"/>
    <w:rsid w:val="303C3B19"/>
    <w:rsid w:val="30630EF4"/>
    <w:rsid w:val="3095526B"/>
    <w:rsid w:val="30974BB3"/>
    <w:rsid w:val="30FD79BE"/>
    <w:rsid w:val="3100405D"/>
    <w:rsid w:val="31174211"/>
    <w:rsid w:val="31216170"/>
    <w:rsid w:val="313C6975"/>
    <w:rsid w:val="315D1164"/>
    <w:rsid w:val="315F2BB6"/>
    <w:rsid w:val="3173104B"/>
    <w:rsid w:val="317D6B35"/>
    <w:rsid w:val="31A30319"/>
    <w:rsid w:val="31A43CBF"/>
    <w:rsid w:val="31B50898"/>
    <w:rsid w:val="31B62FDB"/>
    <w:rsid w:val="31DF176C"/>
    <w:rsid w:val="31F411E7"/>
    <w:rsid w:val="31F45A41"/>
    <w:rsid w:val="31FC70A6"/>
    <w:rsid w:val="31FF4B7E"/>
    <w:rsid w:val="322461F7"/>
    <w:rsid w:val="32983099"/>
    <w:rsid w:val="32AA5592"/>
    <w:rsid w:val="32AD61A5"/>
    <w:rsid w:val="32CB63A7"/>
    <w:rsid w:val="32E75DA8"/>
    <w:rsid w:val="32F653C3"/>
    <w:rsid w:val="33052E5A"/>
    <w:rsid w:val="330E07F5"/>
    <w:rsid w:val="332610BF"/>
    <w:rsid w:val="332878FE"/>
    <w:rsid w:val="337C27BA"/>
    <w:rsid w:val="3386250E"/>
    <w:rsid w:val="33B44D6A"/>
    <w:rsid w:val="33E75242"/>
    <w:rsid w:val="33F20139"/>
    <w:rsid w:val="341101EA"/>
    <w:rsid w:val="341E68F1"/>
    <w:rsid w:val="34217FBA"/>
    <w:rsid w:val="3439248A"/>
    <w:rsid w:val="344A237C"/>
    <w:rsid w:val="34517CCC"/>
    <w:rsid w:val="346C064E"/>
    <w:rsid w:val="34717DC6"/>
    <w:rsid w:val="34B10461"/>
    <w:rsid w:val="34C25E2C"/>
    <w:rsid w:val="34E73243"/>
    <w:rsid w:val="3509322F"/>
    <w:rsid w:val="350A5D7E"/>
    <w:rsid w:val="3515628F"/>
    <w:rsid w:val="351F4211"/>
    <w:rsid w:val="35262532"/>
    <w:rsid w:val="353A08BE"/>
    <w:rsid w:val="355421F7"/>
    <w:rsid w:val="35584D6D"/>
    <w:rsid w:val="355D135C"/>
    <w:rsid w:val="357039DD"/>
    <w:rsid w:val="35906EE4"/>
    <w:rsid w:val="35C21CAF"/>
    <w:rsid w:val="35E46B51"/>
    <w:rsid w:val="35F13E9C"/>
    <w:rsid w:val="362F74F9"/>
    <w:rsid w:val="36487758"/>
    <w:rsid w:val="364936C7"/>
    <w:rsid w:val="3654745F"/>
    <w:rsid w:val="36582751"/>
    <w:rsid w:val="365F3D9A"/>
    <w:rsid w:val="36645310"/>
    <w:rsid w:val="368D5D06"/>
    <w:rsid w:val="36C35E2B"/>
    <w:rsid w:val="36C408B4"/>
    <w:rsid w:val="36CA4871"/>
    <w:rsid w:val="36DE1FDF"/>
    <w:rsid w:val="36E30124"/>
    <w:rsid w:val="36E96E26"/>
    <w:rsid w:val="36EA0866"/>
    <w:rsid w:val="36F7193B"/>
    <w:rsid w:val="37006DA6"/>
    <w:rsid w:val="3722586F"/>
    <w:rsid w:val="37362012"/>
    <w:rsid w:val="37391007"/>
    <w:rsid w:val="378C59A0"/>
    <w:rsid w:val="37A15AB9"/>
    <w:rsid w:val="37C83400"/>
    <w:rsid w:val="37D1690E"/>
    <w:rsid w:val="37E474EC"/>
    <w:rsid w:val="37E93735"/>
    <w:rsid w:val="382A53D5"/>
    <w:rsid w:val="383652ED"/>
    <w:rsid w:val="385701A2"/>
    <w:rsid w:val="386844B4"/>
    <w:rsid w:val="38771629"/>
    <w:rsid w:val="38AC792F"/>
    <w:rsid w:val="38BB1341"/>
    <w:rsid w:val="3909782E"/>
    <w:rsid w:val="392642AC"/>
    <w:rsid w:val="39452765"/>
    <w:rsid w:val="394579D4"/>
    <w:rsid w:val="39464B68"/>
    <w:rsid w:val="397059EB"/>
    <w:rsid w:val="398028B7"/>
    <w:rsid w:val="398652E8"/>
    <w:rsid w:val="399C790E"/>
    <w:rsid w:val="39AD0862"/>
    <w:rsid w:val="39B076FF"/>
    <w:rsid w:val="3A074B96"/>
    <w:rsid w:val="3A077BDC"/>
    <w:rsid w:val="3A19437E"/>
    <w:rsid w:val="3A3A0854"/>
    <w:rsid w:val="3A4A6214"/>
    <w:rsid w:val="3A4E4899"/>
    <w:rsid w:val="3A690586"/>
    <w:rsid w:val="3A6A57DE"/>
    <w:rsid w:val="3A707D13"/>
    <w:rsid w:val="3A8F0F59"/>
    <w:rsid w:val="3A9E1B70"/>
    <w:rsid w:val="3AA12E4E"/>
    <w:rsid w:val="3AD71F6B"/>
    <w:rsid w:val="3B1D50E8"/>
    <w:rsid w:val="3B3614CA"/>
    <w:rsid w:val="3B465AAD"/>
    <w:rsid w:val="3B6C183F"/>
    <w:rsid w:val="3B82605A"/>
    <w:rsid w:val="3B8C3C14"/>
    <w:rsid w:val="3B9C0635"/>
    <w:rsid w:val="3BA966A4"/>
    <w:rsid w:val="3BB42E85"/>
    <w:rsid w:val="3BC4115E"/>
    <w:rsid w:val="3BC62916"/>
    <w:rsid w:val="3BCB15B9"/>
    <w:rsid w:val="3BCD4D79"/>
    <w:rsid w:val="3BE85FC8"/>
    <w:rsid w:val="3BF0761E"/>
    <w:rsid w:val="3BFF77BC"/>
    <w:rsid w:val="3C0B7004"/>
    <w:rsid w:val="3C1A6E6A"/>
    <w:rsid w:val="3C1D1C7C"/>
    <w:rsid w:val="3C2016F2"/>
    <w:rsid w:val="3C224EAA"/>
    <w:rsid w:val="3C350589"/>
    <w:rsid w:val="3C435A91"/>
    <w:rsid w:val="3C456A68"/>
    <w:rsid w:val="3C4F16C1"/>
    <w:rsid w:val="3C5D7DF9"/>
    <w:rsid w:val="3C9A2A62"/>
    <w:rsid w:val="3CD14649"/>
    <w:rsid w:val="3D062484"/>
    <w:rsid w:val="3D10063E"/>
    <w:rsid w:val="3D177553"/>
    <w:rsid w:val="3D193DF3"/>
    <w:rsid w:val="3D246E5A"/>
    <w:rsid w:val="3D4A1496"/>
    <w:rsid w:val="3D4E2B83"/>
    <w:rsid w:val="3D4E45E3"/>
    <w:rsid w:val="3D870953"/>
    <w:rsid w:val="3D98336D"/>
    <w:rsid w:val="3DB000E2"/>
    <w:rsid w:val="3DB302F2"/>
    <w:rsid w:val="3DE976C2"/>
    <w:rsid w:val="3E2C005F"/>
    <w:rsid w:val="3E3976D3"/>
    <w:rsid w:val="3E4905DE"/>
    <w:rsid w:val="3E735B9C"/>
    <w:rsid w:val="3E7C330F"/>
    <w:rsid w:val="3E820130"/>
    <w:rsid w:val="3EDB49C2"/>
    <w:rsid w:val="3EE21E99"/>
    <w:rsid w:val="3EEB07D2"/>
    <w:rsid w:val="3EF62DD7"/>
    <w:rsid w:val="3F0644E9"/>
    <w:rsid w:val="3F24498F"/>
    <w:rsid w:val="3F2A38EA"/>
    <w:rsid w:val="3F4F005D"/>
    <w:rsid w:val="3F5C238A"/>
    <w:rsid w:val="3F5C486D"/>
    <w:rsid w:val="3F62068B"/>
    <w:rsid w:val="3F6468A4"/>
    <w:rsid w:val="3F8D1F32"/>
    <w:rsid w:val="3F970FDB"/>
    <w:rsid w:val="40003556"/>
    <w:rsid w:val="402E54E8"/>
    <w:rsid w:val="403B29C9"/>
    <w:rsid w:val="403B53C3"/>
    <w:rsid w:val="407A57A2"/>
    <w:rsid w:val="40814873"/>
    <w:rsid w:val="40A02AED"/>
    <w:rsid w:val="40B25C23"/>
    <w:rsid w:val="40D506EB"/>
    <w:rsid w:val="40D96DD7"/>
    <w:rsid w:val="40E32E0B"/>
    <w:rsid w:val="411D6973"/>
    <w:rsid w:val="415347E5"/>
    <w:rsid w:val="41AA5A16"/>
    <w:rsid w:val="41AA6FCA"/>
    <w:rsid w:val="41C52353"/>
    <w:rsid w:val="42013392"/>
    <w:rsid w:val="421173AB"/>
    <w:rsid w:val="421604DA"/>
    <w:rsid w:val="423146FC"/>
    <w:rsid w:val="42496B67"/>
    <w:rsid w:val="424A226E"/>
    <w:rsid w:val="42617455"/>
    <w:rsid w:val="427310D3"/>
    <w:rsid w:val="427E642B"/>
    <w:rsid w:val="42965BBA"/>
    <w:rsid w:val="42A2426A"/>
    <w:rsid w:val="42A551B5"/>
    <w:rsid w:val="42A82BE8"/>
    <w:rsid w:val="42AA7ACD"/>
    <w:rsid w:val="42AD59F0"/>
    <w:rsid w:val="42C52579"/>
    <w:rsid w:val="42C927DF"/>
    <w:rsid w:val="42DC2B30"/>
    <w:rsid w:val="430704FF"/>
    <w:rsid w:val="43124C8D"/>
    <w:rsid w:val="432B2F7F"/>
    <w:rsid w:val="433D0BFC"/>
    <w:rsid w:val="433F610A"/>
    <w:rsid w:val="4355636B"/>
    <w:rsid w:val="43670F1D"/>
    <w:rsid w:val="4373608B"/>
    <w:rsid w:val="43760E30"/>
    <w:rsid w:val="437E013B"/>
    <w:rsid w:val="43F4135D"/>
    <w:rsid w:val="44013179"/>
    <w:rsid w:val="441E042F"/>
    <w:rsid w:val="443950F3"/>
    <w:rsid w:val="445016D9"/>
    <w:rsid w:val="445E0466"/>
    <w:rsid w:val="447A4BFE"/>
    <w:rsid w:val="44B67F44"/>
    <w:rsid w:val="44C70D28"/>
    <w:rsid w:val="44CA6E76"/>
    <w:rsid w:val="44F6488D"/>
    <w:rsid w:val="45044A12"/>
    <w:rsid w:val="45282A9A"/>
    <w:rsid w:val="45334A20"/>
    <w:rsid w:val="453C14B9"/>
    <w:rsid w:val="4589448D"/>
    <w:rsid w:val="45CA50A3"/>
    <w:rsid w:val="45FC5A69"/>
    <w:rsid w:val="46010919"/>
    <w:rsid w:val="460556A8"/>
    <w:rsid w:val="46125B36"/>
    <w:rsid w:val="461E4FA6"/>
    <w:rsid w:val="463A5899"/>
    <w:rsid w:val="4654512D"/>
    <w:rsid w:val="46606872"/>
    <w:rsid w:val="466B2CC7"/>
    <w:rsid w:val="46BC2C14"/>
    <w:rsid w:val="46D32B82"/>
    <w:rsid w:val="46F4701B"/>
    <w:rsid w:val="4711691D"/>
    <w:rsid w:val="47205FEA"/>
    <w:rsid w:val="47481121"/>
    <w:rsid w:val="476843F5"/>
    <w:rsid w:val="477A3C84"/>
    <w:rsid w:val="477D700D"/>
    <w:rsid w:val="47A738C8"/>
    <w:rsid w:val="47E52D99"/>
    <w:rsid w:val="47F31436"/>
    <w:rsid w:val="48083C5D"/>
    <w:rsid w:val="48117517"/>
    <w:rsid w:val="48246406"/>
    <w:rsid w:val="482F1D5A"/>
    <w:rsid w:val="48376C36"/>
    <w:rsid w:val="48444BA9"/>
    <w:rsid w:val="486402EB"/>
    <w:rsid w:val="48934611"/>
    <w:rsid w:val="48AD6B9B"/>
    <w:rsid w:val="48F542D2"/>
    <w:rsid w:val="48FD06CC"/>
    <w:rsid w:val="49241DDF"/>
    <w:rsid w:val="492C6396"/>
    <w:rsid w:val="494C4AA8"/>
    <w:rsid w:val="496A2FB3"/>
    <w:rsid w:val="497D38F8"/>
    <w:rsid w:val="498D2E01"/>
    <w:rsid w:val="498D3DBD"/>
    <w:rsid w:val="49BE6BF3"/>
    <w:rsid w:val="49D815D6"/>
    <w:rsid w:val="49D816F4"/>
    <w:rsid w:val="49FD72F4"/>
    <w:rsid w:val="49FF7393"/>
    <w:rsid w:val="4A247675"/>
    <w:rsid w:val="4A38213A"/>
    <w:rsid w:val="4A400586"/>
    <w:rsid w:val="4A5B01F1"/>
    <w:rsid w:val="4A6A4F05"/>
    <w:rsid w:val="4A7A7FC5"/>
    <w:rsid w:val="4A7B711D"/>
    <w:rsid w:val="4A84675D"/>
    <w:rsid w:val="4A8C3A1A"/>
    <w:rsid w:val="4AF63C83"/>
    <w:rsid w:val="4B1646CF"/>
    <w:rsid w:val="4B183293"/>
    <w:rsid w:val="4B7C1338"/>
    <w:rsid w:val="4B975530"/>
    <w:rsid w:val="4BA13B65"/>
    <w:rsid w:val="4BA95E82"/>
    <w:rsid w:val="4BAA114F"/>
    <w:rsid w:val="4BAA4032"/>
    <w:rsid w:val="4BB7755B"/>
    <w:rsid w:val="4BE55CFC"/>
    <w:rsid w:val="4C25681C"/>
    <w:rsid w:val="4C3007F7"/>
    <w:rsid w:val="4C335E10"/>
    <w:rsid w:val="4C3B67F1"/>
    <w:rsid w:val="4C467513"/>
    <w:rsid w:val="4C50744F"/>
    <w:rsid w:val="4C572817"/>
    <w:rsid w:val="4C5A1583"/>
    <w:rsid w:val="4C6369A7"/>
    <w:rsid w:val="4C644BBF"/>
    <w:rsid w:val="4C653585"/>
    <w:rsid w:val="4C6C14CD"/>
    <w:rsid w:val="4C7D636D"/>
    <w:rsid w:val="4C892B3E"/>
    <w:rsid w:val="4CB25296"/>
    <w:rsid w:val="4CC82FE7"/>
    <w:rsid w:val="4CCB0ABF"/>
    <w:rsid w:val="4CF779C0"/>
    <w:rsid w:val="4CFC55B3"/>
    <w:rsid w:val="4D1E6E23"/>
    <w:rsid w:val="4D291FDE"/>
    <w:rsid w:val="4D4500D5"/>
    <w:rsid w:val="4D4D1D0E"/>
    <w:rsid w:val="4D575B02"/>
    <w:rsid w:val="4D5A1E97"/>
    <w:rsid w:val="4D792A29"/>
    <w:rsid w:val="4D835F6B"/>
    <w:rsid w:val="4D93060B"/>
    <w:rsid w:val="4DAA2A9B"/>
    <w:rsid w:val="4DC73899"/>
    <w:rsid w:val="4DD7573E"/>
    <w:rsid w:val="4E1858BC"/>
    <w:rsid w:val="4E214745"/>
    <w:rsid w:val="4E5737A4"/>
    <w:rsid w:val="4E6B1C67"/>
    <w:rsid w:val="4E876A80"/>
    <w:rsid w:val="4E881A6F"/>
    <w:rsid w:val="4EB46112"/>
    <w:rsid w:val="4ECC4E51"/>
    <w:rsid w:val="4EF4193D"/>
    <w:rsid w:val="4F153A2F"/>
    <w:rsid w:val="4F430F16"/>
    <w:rsid w:val="4F4A1B00"/>
    <w:rsid w:val="4F4E5D2F"/>
    <w:rsid w:val="4F8C33AB"/>
    <w:rsid w:val="4F9A4993"/>
    <w:rsid w:val="4FA56BCD"/>
    <w:rsid w:val="4FA844A2"/>
    <w:rsid w:val="4FC42854"/>
    <w:rsid w:val="4FCA7EFC"/>
    <w:rsid w:val="4FDF029D"/>
    <w:rsid w:val="4FE76145"/>
    <w:rsid w:val="4FF92635"/>
    <w:rsid w:val="50001AF1"/>
    <w:rsid w:val="50194853"/>
    <w:rsid w:val="503C1ED5"/>
    <w:rsid w:val="503C1FA1"/>
    <w:rsid w:val="505E14C8"/>
    <w:rsid w:val="50731582"/>
    <w:rsid w:val="50747895"/>
    <w:rsid w:val="509A2E32"/>
    <w:rsid w:val="509F5FAB"/>
    <w:rsid w:val="50AD1052"/>
    <w:rsid w:val="50FD0E66"/>
    <w:rsid w:val="51120212"/>
    <w:rsid w:val="51320C3A"/>
    <w:rsid w:val="515446E1"/>
    <w:rsid w:val="516119DC"/>
    <w:rsid w:val="51655D6D"/>
    <w:rsid w:val="517E58F2"/>
    <w:rsid w:val="518F35F9"/>
    <w:rsid w:val="519227B6"/>
    <w:rsid w:val="51A646BE"/>
    <w:rsid w:val="51A86CBD"/>
    <w:rsid w:val="51B52E1B"/>
    <w:rsid w:val="51C47D1F"/>
    <w:rsid w:val="51CA619A"/>
    <w:rsid w:val="51D10C5E"/>
    <w:rsid w:val="51F704C3"/>
    <w:rsid w:val="52184844"/>
    <w:rsid w:val="52196CD6"/>
    <w:rsid w:val="52273196"/>
    <w:rsid w:val="526F7059"/>
    <w:rsid w:val="528D53DC"/>
    <w:rsid w:val="52A54636"/>
    <w:rsid w:val="52BD2046"/>
    <w:rsid w:val="52D20B31"/>
    <w:rsid w:val="53083AA3"/>
    <w:rsid w:val="532F5A3F"/>
    <w:rsid w:val="5346574A"/>
    <w:rsid w:val="536871EA"/>
    <w:rsid w:val="536A6F68"/>
    <w:rsid w:val="53A84A9F"/>
    <w:rsid w:val="53CE1AF5"/>
    <w:rsid w:val="53D94927"/>
    <w:rsid w:val="53F448C8"/>
    <w:rsid w:val="53F45339"/>
    <w:rsid w:val="54140A32"/>
    <w:rsid w:val="5457477E"/>
    <w:rsid w:val="545A5363"/>
    <w:rsid w:val="54814751"/>
    <w:rsid w:val="548F58A2"/>
    <w:rsid w:val="549C3CF7"/>
    <w:rsid w:val="54A6767D"/>
    <w:rsid w:val="54C1659F"/>
    <w:rsid w:val="54CC7DCA"/>
    <w:rsid w:val="54F6543C"/>
    <w:rsid w:val="550A4C45"/>
    <w:rsid w:val="55372791"/>
    <w:rsid w:val="55563B6B"/>
    <w:rsid w:val="556D0395"/>
    <w:rsid w:val="55754396"/>
    <w:rsid w:val="557645CB"/>
    <w:rsid w:val="55783BA2"/>
    <w:rsid w:val="55B6038D"/>
    <w:rsid w:val="55EC5B9A"/>
    <w:rsid w:val="55F82D46"/>
    <w:rsid w:val="56162164"/>
    <w:rsid w:val="56362315"/>
    <w:rsid w:val="56427DEF"/>
    <w:rsid w:val="5658660E"/>
    <w:rsid w:val="568A7FA4"/>
    <w:rsid w:val="56952F1F"/>
    <w:rsid w:val="56CC7516"/>
    <w:rsid w:val="56E13AAA"/>
    <w:rsid w:val="56EC539B"/>
    <w:rsid w:val="56F04979"/>
    <w:rsid w:val="56FE7476"/>
    <w:rsid w:val="570D2CE4"/>
    <w:rsid w:val="572D6D7C"/>
    <w:rsid w:val="572E1F07"/>
    <w:rsid w:val="57382C2D"/>
    <w:rsid w:val="573F7625"/>
    <w:rsid w:val="57607C5D"/>
    <w:rsid w:val="576870CE"/>
    <w:rsid w:val="57876C6C"/>
    <w:rsid w:val="579025E4"/>
    <w:rsid w:val="57B13971"/>
    <w:rsid w:val="57BE7879"/>
    <w:rsid w:val="57E8396F"/>
    <w:rsid w:val="580F6546"/>
    <w:rsid w:val="582F3637"/>
    <w:rsid w:val="589D040E"/>
    <w:rsid w:val="58EE43A5"/>
    <w:rsid w:val="59011906"/>
    <w:rsid w:val="59324A93"/>
    <w:rsid w:val="59330283"/>
    <w:rsid w:val="598744A3"/>
    <w:rsid w:val="598B4ABD"/>
    <w:rsid w:val="59BE074D"/>
    <w:rsid w:val="59C46ACA"/>
    <w:rsid w:val="59C95FE7"/>
    <w:rsid w:val="59D97F5F"/>
    <w:rsid w:val="5A13072C"/>
    <w:rsid w:val="5A1A6B11"/>
    <w:rsid w:val="5A2F7E9A"/>
    <w:rsid w:val="5A525FC1"/>
    <w:rsid w:val="5A5313B9"/>
    <w:rsid w:val="5A5B1A93"/>
    <w:rsid w:val="5A6123EF"/>
    <w:rsid w:val="5A895545"/>
    <w:rsid w:val="5AA61FE7"/>
    <w:rsid w:val="5AE10DCB"/>
    <w:rsid w:val="5B17528B"/>
    <w:rsid w:val="5B3E3B02"/>
    <w:rsid w:val="5B487FEA"/>
    <w:rsid w:val="5B524538"/>
    <w:rsid w:val="5BB85E2E"/>
    <w:rsid w:val="5BF86102"/>
    <w:rsid w:val="5C0D0B5B"/>
    <w:rsid w:val="5C213896"/>
    <w:rsid w:val="5C251B6A"/>
    <w:rsid w:val="5C2C2C2A"/>
    <w:rsid w:val="5C4417DA"/>
    <w:rsid w:val="5C5872CD"/>
    <w:rsid w:val="5C723D2D"/>
    <w:rsid w:val="5C74016E"/>
    <w:rsid w:val="5CD805CC"/>
    <w:rsid w:val="5CDB1300"/>
    <w:rsid w:val="5D124123"/>
    <w:rsid w:val="5D2E30EC"/>
    <w:rsid w:val="5D3D5B2F"/>
    <w:rsid w:val="5D4727AF"/>
    <w:rsid w:val="5D5501F2"/>
    <w:rsid w:val="5DA232D1"/>
    <w:rsid w:val="5DB0276A"/>
    <w:rsid w:val="5DB256B2"/>
    <w:rsid w:val="5E671789"/>
    <w:rsid w:val="5E6A2D60"/>
    <w:rsid w:val="5E7625CA"/>
    <w:rsid w:val="5E7D69ED"/>
    <w:rsid w:val="5E7F6E97"/>
    <w:rsid w:val="5E9B6F9B"/>
    <w:rsid w:val="5EAC18A7"/>
    <w:rsid w:val="5EC208A4"/>
    <w:rsid w:val="5ECE020E"/>
    <w:rsid w:val="5EDF234F"/>
    <w:rsid w:val="5EE1348F"/>
    <w:rsid w:val="5EF03005"/>
    <w:rsid w:val="5F417E0E"/>
    <w:rsid w:val="5F4A55C6"/>
    <w:rsid w:val="5F6A388F"/>
    <w:rsid w:val="5F744282"/>
    <w:rsid w:val="5F7543B4"/>
    <w:rsid w:val="5FD80461"/>
    <w:rsid w:val="5FF21928"/>
    <w:rsid w:val="5FF822A7"/>
    <w:rsid w:val="60022F17"/>
    <w:rsid w:val="601C086A"/>
    <w:rsid w:val="602316C2"/>
    <w:rsid w:val="603713E2"/>
    <w:rsid w:val="603B2CE8"/>
    <w:rsid w:val="60497D52"/>
    <w:rsid w:val="606625D3"/>
    <w:rsid w:val="608E127D"/>
    <w:rsid w:val="60A26AC3"/>
    <w:rsid w:val="60AA06D8"/>
    <w:rsid w:val="60DD7E99"/>
    <w:rsid w:val="60E5198E"/>
    <w:rsid w:val="610E5299"/>
    <w:rsid w:val="614618F9"/>
    <w:rsid w:val="614F4D1C"/>
    <w:rsid w:val="614F7714"/>
    <w:rsid w:val="615F2167"/>
    <w:rsid w:val="615F7D6A"/>
    <w:rsid w:val="616048EE"/>
    <w:rsid w:val="61616736"/>
    <w:rsid w:val="61653414"/>
    <w:rsid w:val="617D2724"/>
    <w:rsid w:val="618230E9"/>
    <w:rsid w:val="61DE1F1F"/>
    <w:rsid w:val="620058CC"/>
    <w:rsid w:val="621A2AEC"/>
    <w:rsid w:val="624D069F"/>
    <w:rsid w:val="62882910"/>
    <w:rsid w:val="629E0BA3"/>
    <w:rsid w:val="62B6094A"/>
    <w:rsid w:val="635555EB"/>
    <w:rsid w:val="63C54498"/>
    <w:rsid w:val="63E9343E"/>
    <w:rsid w:val="63FA66D5"/>
    <w:rsid w:val="63FC1FB2"/>
    <w:rsid w:val="63FF12C6"/>
    <w:rsid w:val="640456B5"/>
    <w:rsid w:val="64051D8F"/>
    <w:rsid w:val="640F43C5"/>
    <w:rsid w:val="64341720"/>
    <w:rsid w:val="64512DAE"/>
    <w:rsid w:val="646A695C"/>
    <w:rsid w:val="64735CFC"/>
    <w:rsid w:val="649A7664"/>
    <w:rsid w:val="64AF0C45"/>
    <w:rsid w:val="64D833A6"/>
    <w:rsid w:val="64DC1655"/>
    <w:rsid w:val="64ED57E5"/>
    <w:rsid w:val="65117ECA"/>
    <w:rsid w:val="65180EC0"/>
    <w:rsid w:val="6521305C"/>
    <w:rsid w:val="652B420C"/>
    <w:rsid w:val="6535383A"/>
    <w:rsid w:val="653E582F"/>
    <w:rsid w:val="65753498"/>
    <w:rsid w:val="657C1693"/>
    <w:rsid w:val="65884515"/>
    <w:rsid w:val="65A22487"/>
    <w:rsid w:val="65B652C1"/>
    <w:rsid w:val="65EF7DFF"/>
    <w:rsid w:val="66200813"/>
    <w:rsid w:val="66322707"/>
    <w:rsid w:val="666752FC"/>
    <w:rsid w:val="667A0598"/>
    <w:rsid w:val="667F104B"/>
    <w:rsid w:val="669022B7"/>
    <w:rsid w:val="66940A39"/>
    <w:rsid w:val="669E071A"/>
    <w:rsid w:val="669E4217"/>
    <w:rsid w:val="66CA5E5F"/>
    <w:rsid w:val="66E710BA"/>
    <w:rsid w:val="66ED62BD"/>
    <w:rsid w:val="67164009"/>
    <w:rsid w:val="671A520A"/>
    <w:rsid w:val="67292A7D"/>
    <w:rsid w:val="673A2970"/>
    <w:rsid w:val="673D7B0C"/>
    <w:rsid w:val="674E7F25"/>
    <w:rsid w:val="67514E24"/>
    <w:rsid w:val="67620408"/>
    <w:rsid w:val="677878C6"/>
    <w:rsid w:val="677D444B"/>
    <w:rsid w:val="678F3A8F"/>
    <w:rsid w:val="67A01BAC"/>
    <w:rsid w:val="67AB509E"/>
    <w:rsid w:val="67B32B67"/>
    <w:rsid w:val="67C31FC0"/>
    <w:rsid w:val="67CE4F0A"/>
    <w:rsid w:val="67E7052E"/>
    <w:rsid w:val="67F65281"/>
    <w:rsid w:val="680509F9"/>
    <w:rsid w:val="680A2685"/>
    <w:rsid w:val="681875C8"/>
    <w:rsid w:val="682A15E7"/>
    <w:rsid w:val="68486434"/>
    <w:rsid w:val="68A24BC0"/>
    <w:rsid w:val="68E7020B"/>
    <w:rsid w:val="68EF6C3A"/>
    <w:rsid w:val="68FB7D69"/>
    <w:rsid w:val="690B382C"/>
    <w:rsid w:val="690E768F"/>
    <w:rsid w:val="693D6FD0"/>
    <w:rsid w:val="69467A9E"/>
    <w:rsid w:val="6959078C"/>
    <w:rsid w:val="69611F8C"/>
    <w:rsid w:val="69690603"/>
    <w:rsid w:val="6972432A"/>
    <w:rsid w:val="69797C2C"/>
    <w:rsid w:val="697B2AE1"/>
    <w:rsid w:val="698014F4"/>
    <w:rsid w:val="69890EB1"/>
    <w:rsid w:val="69A46FD6"/>
    <w:rsid w:val="69AF6A95"/>
    <w:rsid w:val="69C24AC2"/>
    <w:rsid w:val="69C630CF"/>
    <w:rsid w:val="69D05E78"/>
    <w:rsid w:val="69E1087F"/>
    <w:rsid w:val="6A112FF4"/>
    <w:rsid w:val="6A130B08"/>
    <w:rsid w:val="6A1D6053"/>
    <w:rsid w:val="6A2B356A"/>
    <w:rsid w:val="6A3E3CDD"/>
    <w:rsid w:val="6A6825EC"/>
    <w:rsid w:val="6A90701E"/>
    <w:rsid w:val="6AAF7616"/>
    <w:rsid w:val="6ADA4924"/>
    <w:rsid w:val="6ADB0495"/>
    <w:rsid w:val="6AE15310"/>
    <w:rsid w:val="6AF92ED3"/>
    <w:rsid w:val="6B0A4E87"/>
    <w:rsid w:val="6B110489"/>
    <w:rsid w:val="6B332A94"/>
    <w:rsid w:val="6B3D1977"/>
    <w:rsid w:val="6B407F5A"/>
    <w:rsid w:val="6B5A41AF"/>
    <w:rsid w:val="6B671D29"/>
    <w:rsid w:val="6B6A7091"/>
    <w:rsid w:val="6BD92C40"/>
    <w:rsid w:val="6C293E8F"/>
    <w:rsid w:val="6C3016AA"/>
    <w:rsid w:val="6C415AEC"/>
    <w:rsid w:val="6C4547D7"/>
    <w:rsid w:val="6C477A25"/>
    <w:rsid w:val="6C632A9C"/>
    <w:rsid w:val="6CDA05DD"/>
    <w:rsid w:val="6CF27CB7"/>
    <w:rsid w:val="6CFF4FC3"/>
    <w:rsid w:val="6D073BCB"/>
    <w:rsid w:val="6D0B5A94"/>
    <w:rsid w:val="6D2B1D59"/>
    <w:rsid w:val="6D442267"/>
    <w:rsid w:val="6D95593B"/>
    <w:rsid w:val="6E11324D"/>
    <w:rsid w:val="6E361F05"/>
    <w:rsid w:val="6E363CDF"/>
    <w:rsid w:val="6E527A2D"/>
    <w:rsid w:val="6E7B5445"/>
    <w:rsid w:val="6E847F11"/>
    <w:rsid w:val="6EB45479"/>
    <w:rsid w:val="6EC5561E"/>
    <w:rsid w:val="6EC64ABF"/>
    <w:rsid w:val="6ECA5A5F"/>
    <w:rsid w:val="6EFC3550"/>
    <w:rsid w:val="6F043F0B"/>
    <w:rsid w:val="6F232D8F"/>
    <w:rsid w:val="6F3C40E8"/>
    <w:rsid w:val="6F507371"/>
    <w:rsid w:val="6F584596"/>
    <w:rsid w:val="6F886E71"/>
    <w:rsid w:val="6FC13350"/>
    <w:rsid w:val="6FC323D9"/>
    <w:rsid w:val="6FD638B1"/>
    <w:rsid w:val="6FF27EB0"/>
    <w:rsid w:val="7013451F"/>
    <w:rsid w:val="702005DC"/>
    <w:rsid w:val="70853BCC"/>
    <w:rsid w:val="70A23903"/>
    <w:rsid w:val="70B4157B"/>
    <w:rsid w:val="70D3493E"/>
    <w:rsid w:val="70D76741"/>
    <w:rsid w:val="710A3270"/>
    <w:rsid w:val="71306252"/>
    <w:rsid w:val="716621C1"/>
    <w:rsid w:val="716C281D"/>
    <w:rsid w:val="71AB5F8A"/>
    <w:rsid w:val="71B24E95"/>
    <w:rsid w:val="71C5773E"/>
    <w:rsid w:val="71D8471D"/>
    <w:rsid w:val="71FC4C7C"/>
    <w:rsid w:val="71FD4EA0"/>
    <w:rsid w:val="72251DA4"/>
    <w:rsid w:val="72712929"/>
    <w:rsid w:val="728114C6"/>
    <w:rsid w:val="729446A5"/>
    <w:rsid w:val="729B764A"/>
    <w:rsid w:val="72B375F5"/>
    <w:rsid w:val="72C740ED"/>
    <w:rsid w:val="72E673CF"/>
    <w:rsid w:val="72EB533D"/>
    <w:rsid w:val="730B0B61"/>
    <w:rsid w:val="734F3A86"/>
    <w:rsid w:val="736D44EF"/>
    <w:rsid w:val="737F0D9D"/>
    <w:rsid w:val="73B35A75"/>
    <w:rsid w:val="73C97E9E"/>
    <w:rsid w:val="73D40DA2"/>
    <w:rsid w:val="73DD1180"/>
    <w:rsid w:val="74465350"/>
    <w:rsid w:val="746B647F"/>
    <w:rsid w:val="7484307D"/>
    <w:rsid w:val="7489283A"/>
    <w:rsid w:val="74905E8F"/>
    <w:rsid w:val="74B205CF"/>
    <w:rsid w:val="74B53285"/>
    <w:rsid w:val="74B746E8"/>
    <w:rsid w:val="74D67798"/>
    <w:rsid w:val="74DC5EDA"/>
    <w:rsid w:val="75106F89"/>
    <w:rsid w:val="753022BE"/>
    <w:rsid w:val="75530645"/>
    <w:rsid w:val="755F2C4C"/>
    <w:rsid w:val="7594489B"/>
    <w:rsid w:val="7595501B"/>
    <w:rsid w:val="75B270E5"/>
    <w:rsid w:val="75DF5DB2"/>
    <w:rsid w:val="762A38F1"/>
    <w:rsid w:val="762E5891"/>
    <w:rsid w:val="763E0596"/>
    <w:rsid w:val="76466B26"/>
    <w:rsid w:val="76A67DFC"/>
    <w:rsid w:val="76C719EA"/>
    <w:rsid w:val="76F03175"/>
    <w:rsid w:val="770850B6"/>
    <w:rsid w:val="77247AA0"/>
    <w:rsid w:val="772C60B7"/>
    <w:rsid w:val="774515AC"/>
    <w:rsid w:val="776B46B2"/>
    <w:rsid w:val="777965ED"/>
    <w:rsid w:val="77817EAC"/>
    <w:rsid w:val="77891315"/>
    <w:rsid w:val="778B2D40"/>
    <w:rsid w:val="779D7593"/>
    <w:rsid w:val="77C80872"/>
    <w:rsid w:val="77DC06F1"/>
    <w:rsid w:val="77E61546"/>
    <w:rsid w:val="77FD22D0"/>
    <w:rsid w:val="783862E1"/>
    <w:rsid w:val="78737430"/>
    <w:rsid w:val="789E0236"/>
    <w:rsid w:val="78A11F78"/>
    <w:rsid w:val="78AF7669"/>
    <w:rsid w:val="78D15EAD"/>
    <w:rsid w:val="78D528CE"/>
    <w:rsid w:val="78DC52BB"/>
    <w:rsid w:val="78EF7BAC"/>
    <w:rsid w:val="78FE6E8B"/>
    <w:rsid w:val="79004FC6"/>
    <w:rsid w:val="794247C9"/>
    <w:rsid w:val="795E2273"/>
    <w:rsid w:val="798B58B7"/>
    <w:rsid w:val="79CA5589"/>
    <w:rsid w:val="79F729CB"/>
    <w:rsid w:val="7A340D66"/>
    <w:rsid w:val="7A5433E7"/>
    <w:rsid w:val="7A613E42"/>
    <w:rsid w:val="7A632889"/>
    <w:rsid w:val="7A815634"/>
    <w:rsid w:val="7A9642E8"/>
    <w:rsid w:val="7A996458"/>
    <w:rsid w:val="7AA15BBC"/>
    <w:rsid w:val="7AC42EFD"/>
    <w:rsid w:val="7ACF5FBB"/>
    <w:rsid w:val="7AD51A8A"/>
    <w:rsid w:val="7AF3075E"/>
    <w:rsid w:val="7B1903CB"/>
    <w:rsid w:val="7B2C1EB5"/>
    <w:rsid w:val="7B550266"/>
    <w:rsid w:val="7B5B44E6"/>
    <w:rsid w:val="7BB30DF6"/>
    <w:rsid w:val="7BC0506C"/>
    <w:rsid w:val="7BD5433F"/>
    <w:rsid w:val="7BE503A1"/>
    <w:rsid w:val="7BF84150"/>
    <w:rsid w:val="7C070B0D"/>
    <w:rsid w:val="7C1643B1"/>
    <w:rsid w:val="7C183004"/>
    <w:rsid w:val="7C1954A8"/>
    <w:rsid w:val="7C201BE6"/>
    <w:rsid w:val="7C447A03"/>
    <w:rsid w:val="7C480181"/>
    <w:rsid w:val="7C53730A"/>
    <w:rsid w:val="7C741B8F"/>
    <w:rsid w:val="7C950DB7"/>
    <w:rsid w:val="7CA20D5A"/>
    <w:rsid w:val="7CA751A0"/>
    <w:rsid w:val="7CC623BD"/>
    <w:rsid w:val="7CE048DE"/>
    <w:rsid w:val="7D013F30"/>
    <w:rsid w:val="7D207A95"/>
    <w:rsid w:val="7D2F5F4B"/>
    <w:rsid w:val="7D361B5B"/>
    <w:rsid w:val="7D395C3B"/>
    <w:rsid w:val="7D487044"/>
    <w:rsid w:val="7D53487F"/>
    <w:rsid w:val="7D7E3F49"/>
    <w:rsid w:val="7D8B6C86"/>
    <w:rsid w:val="7D992132"/>
    <w:rsid w:val="7DA245E9"/>
    <w:rsid w:val="7DAE6B9A"/>
    <w:rsid w:val="7DB54C08"/>
    <w:rsid w:val="7DDF5BB8"/>
    <w:rsid w:val="7E145B78"/>
    <w:rsid w:val="7E1E5DFA"/>
    <w:rsid w:val="7E45572A"/>
    <w:rsid w:val="7E525688"/>
    <w:rsid w:val="7E57165F"/>
    <w:rsid w:val="7EA24BD3"/>
    <w:rsid w:val="7EA617D8"/>
    <w:rsid w:val="7EA96A04"/>
    <w:rsid w:val="7EC2340B"/>
    <w:rsid w:val="7ECA7D82"/>
    <w:rsid w:val="7EDD2BB7"/>
    <w:rsid w:val="7EF24838"/>
    <w:rsid w:val="7EFD157F"/>
    <w:rsid w:val="7F084B75"/>
    <w:rsid w:val="7F1262E1"/>
    <w:rsid w:val="7F1E4DF1"/>
    <w:rsid w:val="7F405636"/>
    <w:rsid w:val="7F737A53"/>
    <w:rsid w:val="7FA15F27"/>
    <w:rsid w:val="7FF5744B"/>
    <w:rsid w:val="7FFF2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A6FBCD-17D0-4199-804E-79FFAACDA34E}">
  <ds:schemaRefs/>
</ds:datastoreItem>
</file>

<file path=docProps/app.xml><?xml version="1.0" encoding="utf-8"?>
<Properties xmlns="http://schemas.openxmlformats.org/officeDocument/2006/extended-properties" xmlns:vt="http://schemas.openxmlformats.org/officeDocument/2006/docPropsVTypes">
  <Template>Normal</Template>
  <Pages>6</Pages>
  <Words>1660</Words>
  <Characters>9464</Characters>
  <Lines>78</Lines>
  <Paragraphs>22</Paragraphs>
  <TotalTime>1</TotalTime>
  <ScaleCrop>false</ScaleCrop>
  <LinksUpToDate>false</LinksUpToDate>
  <CharactersWithSpaces>11102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2019-02-14T03:43:14Z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